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CB0CA" w14:textId="043A433A" w:rsidR="0011538C" w:rsidRPr="00C74E75" w:rsidRDefault="00AA0C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C74E75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4C6710F2" w14:textId="77777777" w:rsidR="0011538C" w:rsidRPr="00C74E75" w:rsidRDefault="001153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901EC68" w14:textId="70736159" w:rsidR="0011538C" w:rsidRPr="00C74E75" w:rsidRDefault="00AA0C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="00C74E7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об утверждении учетной политики для целей налогообложения</w:t>
      </w:r>
    </w:p>
    <w:p w14:paraId="49D7191D" w14:textId="77777777" w:rsidR="0011538C" w:rsidRPr="00C74E75" w:rsidRDefault="001153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358A5FC" w14:textId="77777777" w:rsidR="009D5E4E" w:rsidRPr="00456152" w:rsidRDefault="009D5E4E" w:rsidP="009D5E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г. Москва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29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.12.2021</w:t>
      </w:r>
    </w:p>
    <w:p w14:paraId="6BAB04B8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113B8CED" w14:textId="77777777" w:rsidR="009D5E4E" w:rsidRPr="00456152" w:rsidRDefault="009D5E4E" w:rsidP="009D5E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349A0CFC" w14:textId="77777777" w:rsidR="009D5E4E" w:rsidRPr="00456152" w:rsidRDefault="009D5E4E" w:rsidP="009D5E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1. Утвердить учетную политику для целей налогообложения на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год согласно</w:t>
      </w:r>
      <w:r w:rsidRPr="00456152">
        <w:rPr>
          <w:lang w:val="ru-RU"/>
        </w:rPr>
        <w:br/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 1 к настоящему приказу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F0E276" w14:textId="77777777" w:rsidR="009D5E4E" w:rsidRDefault="009D5E4E" w:rsidP="009D5E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2. Контроль за исполнением настоящего приказа возложить на главного бухгалтера</w:t>
      </w:r>
      <w:r w:rsidRPr="00456152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С.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Сидорову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2C8435" w14:textId="77777777" w:rsidR="009D5E4E" w:rsidRDefault="009D5E4E" w:rsidP="009D5E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DED">
        <w:rPr>
          <w:rFonts w:hAnsi="Times New Roman" w:cs="Times New Roman"/>
          <w:color w:val="000000"/>
          <w:sz w:val="24"/>
          <w:szCs w:val="24"/>
          <w:lang w:val="ru-RU"/>
        </w:rPr>
        <w:t>Генеральный директор</w:t>
      </w:r>
      <w:r w:rsidRPr="00FA1DED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FA1DE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Петров</w:t>
      </w:r>
      <w:r w:rsidRPr="00FA1DED">
        <w:rPr>
          <w:rFonts w:hAnsi="Times New Roman" w:cs="Times New Roman"/>
          <w:color w:val="000000"/>
          <w:sz w:val="24"/>
          <w:szCs w:val="24"/>
          <w:lang w:val="ru-RU"/>
        </w:rPr>
        <w:tab/>
        <w:t>П.П. Петров</w:t>
      </w:r>
    </w:p>
    <w:p w14:paraId="41189490" w14:textId="77777777" w:rsidR="009D5E4E" w:rsidRDefault="009D5E4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C3DFBB1" w14:textId="706F2F0B" w:rsidR="0011538C" w:rsidRPr="00C74E75" w:rsidRDefault="00AA0C8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от </w:t>
      </w:r>
      <w:r w:rsidR="002E572A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.12.2021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2E572A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14:paraId="10ED75E4" w14:textId="77777777" w:rsidR="0011538C" w:rsidRPr="00C74E75" w:rsidRDefault="00AA0C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политика для целей налогообложения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 год</w:t>
      </w:r>
    </w:p>
    <w:p w14:paraId="00D07556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1. Ведение налогового учета возложить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на бухгалтерию, возглавляемую главным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бухгалтером.</w:t>
      </w:r>
    </w:p>
    <w:p w14:paraId="58321EFC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2. Применять объект налогообложения в виде разницы между доходами и расходами организации.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 346.14 НК.</w:t>
      </w:r>
    </w:p>
    <w:p w14:paraId="15DB92FA" w14:textId="2942D3C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 xml:space="preserve">3. Книгу учета доходов и расходов вести </w:t>
      </w:r>
      <w:r w:rsidR="006B4BA1" w:rsidRPr="00C74E75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автоматизировано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 xml:space="preserve"> с использованием типовой версии «1С: Упрощенная система налогообложения».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статья 346.24 НК, пункт 1.4 Порядка, утвержденного приказом Минфина от 22.10.2012 № 135н.</w:t>
      </w:r>
    </w:p>
    <w:p w14:paraId="23A22F34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4. Записи в книге учета доходов и расходов осуществлять на основании первичных документов по каждой хозяйственной операции.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1.1 Порядка, утвержденного приказом Минфина от 22.10.2012 № 135н,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часть 2 статьи 9 Закона от 06.12.2011 № 402-ФЗ.</w:t>
      </w:r>
    </w:p>
    <w:p w14:paraId="1FF9A214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 амортизируемого имущества</w:t>
      </w:r>
    </w:p>
    <w:p w14:paraId="46CB97FB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 В целях исчисления единого налога основным средством признавать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имущество, используемое в качестве средств труда для производства продукции (выполнения работ, оказания услуг) или для управления организацией, первоначальная стоимость которого на дату ввода в эксплуатацию превышает величину, установленную пунктом 1 статьи 256 НК, и сроком полезного использования более 12 месяцев.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 статьи 346.16, пункт 1 статьи 257, пункт 1 статьи 256 НК.</w:t>
      </w:r>
    </w:p>
    <w:p w14:paraId="0B92534D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6. Первоначальную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стоимость основного средства определять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по правилам бухгалтерского учета.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подпункт 3 пункта 3 статьи 346.16 НК, часть 1 статьи 2 и часть 1 статьи 6 Закона от 06.12.2011 № 402-ФЗ.</w:t>
      </w:r>
    </w:p>
    <w:p w14:paraId="07925FA8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7. При условии оплаты первоначальную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стоимость основного средства, а также расходы на его дооборудование (реконструкцию, модернизацию и техническое перевооружение) отражать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в книге учета доходов и расходов равными долями начиная с квартала, в котором оплаченное основное средство было введено в эксплуатацию, и до конца года. При расчете доли стоимость частично оплаченных основных средств учитывать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в размере частичной оплаты.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подпункт 3 пункта 3 статьи 346.16, подпункт 4 пункта 2 статьи 346.17 НК.</w:t>
      </w:r>
    </w:p>
    <w:p w14:paraId="156C69BB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8. Долю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стоимости основного средства (нематериального актива), приобретенного в период применения УСН, подлежащая признанию в отчетном периоде, определять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делением первоначальной стоимости на количество кварталов, оставшихся до конца года, включая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квартал, в котором выполнены все условия по списанию стоимости объекта в расходы.</w:t>
      </w:r>
    </w:p>
    <w:p w14:paraId="7B20D929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Если в эксплуатацию введено частично оплаченное основное средство, то долю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его стоимости, признаваемую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в текущем и оставшихся до конца года кварталах, определять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делением суммы частичной оплаты за квартал на количество кварталов, оставшихся до конца года, включая квартал, в котором осуществлена частичная оплата введенного в эксплуатацию объекта.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подпункт 3 пункта 3 статьи 346.16, подпункт 4 пункта 2 статьи 346.17 НК.</w:t>
      </w:r>
    </w:p>
    <w:p w14:paraId="3637FCDF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 товарно-материальных ценностей</w:t>
      </w:r>
    </w:p>
    <w:p w14:paraId="1CECBDF9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9. В состав материальных расходов включать:</w:t>
      </w:r>
    </w:p>
    <w:p w14:paraId="4140AD75" w14:textId="77777777" w:rsidR="0011538C" w:rsidRDefault="00AA0C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цену приобретения материалов;</w:t>
      </w:r>
    </w:p>
    <w:p w14:paraId="694B3D97" w14:textId="77777777" w:rsidR="0011538C" w:rsidRPr="00C74E75" w:rsidRDefault="00AA0C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расходы на комиссионные вознаграждения посредникам;</w:t>
      </w:r>
    </w:p>
    <w:p w14:paraId="0686ACC4" w14:textId="77777777" w:rsidR="0011538C" w:rsidRPr="00C74E75" w:rsidRDefault="00AA0C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ввозные таможенные пошлины и сборы;</w:t>
      </w:r>
    </w:p>
    <w:p w14:paraId="779E85AF" w14:textId="77777777" w:rsidR="0011538C" w:rsidRDefault="00AA0C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расходы на транспортировку;</w:t>
      </w:r>
    </w:p>
    <w:p w14:paraId="177B8A68" w14:textId="77777777" w:rsidR="0011538C" w:rsidRPr="00C74E75" w:rsidRDefault="00AA0C8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расходы на информационные и консультационные услуги, связанные с приобретением материалов.</w:t>
      </w:r>
    </w:p>
    <w:p w14:paraId="797966C2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Суммы НДС, уплаченные поставщикам при приобретении материальных запасов, отражать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в книге учета доходов и расходов отдельной строкой в момент признания материалов в составе затрат.</w:t>
      </w:r>
    </w:p>
    <w:p w14:paraId="41681C69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подпункт 5 пункта 1, абзац 2 пункта 2 статьи 346.16, пункт 2 статьи 254, подпункт 8 пункта 1 статьи 346.16 НК.</w:t>
      </w:r>
    </w:p>
    <w:p w14:paraId="5216AC67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10. Расходы на ГСМ в пределах нормативов учитывать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в составе материальных расходов. Датой признания расходов считать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оплаты ГСМ.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подпункт 5 пункта 1 статьи 346.16, пункт 2 статьи 346.17 НК.</w:t>
      </w:r>
    </w:p>
    <w:p w14:paraId="4AE0D777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11. Нормативы для признания расходов на ГСМ в составе затрат рассчитывать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по мере осуществления поездок на основании путевых листов. Запись вносить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в книгу учета доходов и расходов в размере сумм, не превышающих норматив.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 статьи 346.17 НК, письмо УФНС по г. Москве от 30.01.2009 № 19 12/007413.</w:t>
      </w:r>
    </w:p>
    <w:p w14:paraId="2EB6C739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12. Стоимость товаров, приобретенных для дальнейшей реализации, определять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исходя из цены их приобретения по договору (уменьшенной на сумму НДС, предъявленного поставщиком товаров). Транспортно-заготовительные расходы учитывать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в составе затрат в качестве расходов, связанных с приобретением товаров, на самостоятельном основании отдельно от стоимости товаров.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подпункты 8, 23 пункта 1 статьи 346.16 НК.</w:t>
      </w:r>
    </w:p>
    <w:p w14:paraId="3505AB20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13. Стоимость товаров, приобретенных для перепродажи, учитывать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в составе затрат по мере реализации товаров. Реализованные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товары оценивать по методу средней стоимости.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подпункт 23 пункта 1 статьи 346.16, подпункт 2 пункта 2 статьи 346.17 НК.</w:t>
      </w:r>
    </w:p>
    <w:p w14:paraId="3582C72A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14. Суммы НДС, предъявленные по товарам, приобретенным для перепродажи, включать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в состав затрат по мере реализации товаров. При этом суммы НДС отражать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в книге учета доходов и расходов отдельной строкой.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подпункты 8 и 23 пункта 1 статьи 346.16, подпункт 2 пункта 2 статьи 346.17 НК,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письмо Минфина от 02.12.2009 № 03-11-06/2/256.</w:t>
      </w:r>
    </w:p>
    <w:p w14:paraId="751F563E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15. Расходы, связанные с приобретением товаров, в том числе расходы по обслуживанию и транспортировке товаров, учитывать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в составе затрат по мере фактической оплаты. Основание: подпункт 23 пункта 1 статьи 346.16, абзац 6 подпункта 2 пункта 2 статьи 346.17 НК, письмо Минфина от 08.09.2011 № 03-11-06/2/124.</w:t>
      </w:r>
    </w:p>
    <w:p w14:paraId="4E3C8D5F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16. Запись в книге учета доходов и расходов о признании материалов в составе затрат осуществлять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на основании платежного поручения (или иного документа, подтверждающего оплату материалов или расходов, связанных с их приобретением).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Запись в книге учета доходов и расходов о признании товаров в составе затрат осуществлять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на основании накладной на отпуск товаров покупателю.</w:t>
      </w:r>
    </w:p>
    <w:p w14:paraId="0408514E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подпункт 1 пункта 2 статьи 346.17 НК, письмо Минфина от 18.01.2010 № 03-11-11/03, пункт 1.1 Порядка, утвержденного приказом Минфина от 22.10.2012 № 135н.</w:t>
      </w:r>
    </w:p>
    <w:p w14:paraId="4E23BE01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 затрат</w:t>
      </w:r>
    </w:p>
    <w:p w14:paraId="4C3D0DB2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 xml:space="preserve">17. К расходам на реализацию товаров, приобретенных для перепродажи, относить расходы по хранению и транспортировке товаров до покупателя, а также расходы на обслуживание товаров, в том числе расходы на аренду и содержание торговых зданий и помещений, расходы на рекламу и вознаграждения посредников, реализующих 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товары. Расходы на реализацию товаров учитывать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в составе затрат после их фактической оплаты.</w:t>
      </w:r>
    </w:p>
    <w:p w14:paraId="5D433DA1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подпункт 23 пункта 1 статьи 346.16, абзац 6 подпункта 2 пункта 2 статьи 346.17 НК, письмо Минфина от 15.04.2010 № 03-11-06/2/59.</w:t>
      </w:r>
    </w:p>
    <w:p w14:paraId="77A02CC4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18. Сумму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расходов (за исключением расходов на ГСМ), учитываемых при расчете единого налога в пределах нормативов, рассчитывать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ежеквартально нарастающим итогом исходя из оплаченных расходов отчетного (налогового) периода. Запись о корректировке нормируемых затрат вносить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в книгу учета доходов и расходов после соответствующего расчета в конце отчетного периода.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 статьи 346.16, пункт 5 статьи 346.18, статья 346.19 НК.</w:t>
      </w:r>
    </w:p>
    <w:p w14:paraId="56E24EE4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19. Доходы и расходы от переоценки имущества в виде валютных ценностей и требований (обязательств), стоимость которых выражена в иностранной валюте, не учитывать.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5 статьи 346.17 НК.</w:t>
      </w:r>
    </w:p>
    <w:p w14:paraId="42F96C0D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 убытков</w:t>
      </w:r>
    </w:p>
    <w:p w14:paraId="75B305C9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20. Налогооблагаемую базу за текущий год уменьшать на всю сумму убытка за предшествующие 10 налоговых периодов. При этом убыток не переносить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на ту часть прибыли текущего года, при которой сумма единого налога не превышает сумму минимального налога.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7 статьи 346.18 НК, письмо ФНС от 14.07.2010 № ШС-37-3/6701.</w:t>
      </w:r>
    </w:p>
    <w:p w14:paraId="6FF1F2C4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21. Включать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в расходы разницу между суммой уплаченного минимального налога и суммой налога, рассчитанного в общем порядке, при расчете налоговой базы по итогам года. В том числе увеличивать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сумму убытков, переносимых на будущее.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абзац 4 пункта 6 статьи 346.18 НК.</w:t>
      </w:r>
    </w:p>
    <w:p w14:paraId="2FFB480F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Налоговый агент</w:t>
      </w:r>
    </w:p>
    <w:p w14:paraId="56082EDB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22. Выполнять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обязанности налогового агента по НДС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при совершении операций, предусмотренных статьей 161 НК.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статьи 24, 161 НК.</w:t>
      </w:r>
    </w:p>
    <w:p w14:paraId="12FA655F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23. Выполнять обязанности налогового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агента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по налогу на прибыль при выполнении следующих обязательств:</w:t>
      </w:r>
    </w:p>
    <w:p w14:paraId="2B0FB0E0" w14:textId="77777777" w:rsidR="0011538C" w:rsidRPr="00C74E75" w:rsidRDefault="00AA0C8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выплата дивидендов от долевого участия в деятельности организации;</w:t>
      </w:r>
    </w:p>
    <w:p w14:paraId="1401402B" w14:textId="77777777" w:rsidR="0011538C" w:rsidRPr="00C74E75" w:rsidRDefault="00AA0C8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выплата процентов по государственным и муниципальным ценным бумагам;</w:t>
      </w:r>
    </w:p>
    <w:p w14:paraId="0F076D58" w14:textId="77777777" w:rsidR="0011538C" w:rsidRDefault="00AA0C8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выплата доходов иностранным организациям.</w:t>
      </w:r>
    </w:p>
    <w:p w14:paraId="2AFA7388" w14:textId="77777777" w:rsidR="0011538C" w:rsidRDefault="00AA0C8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Основание: статьи 275, 281, 309 НК.</w:t>
      </w:r>
    </w:p>
    <w:p w14:paraId="652EE279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24. Выполнять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обязанности налогового агента по НДФЛ.</w:t>
      </w:r>
      <w:r w:rsidRPr="00C74E75">
        <w:rPr>
          <w:lang w:val="ru-RU"/>
        </w:rPr>
        <w:br/>
      </w: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Основание: глава 23 НК.</w:t>
      </w:r>
    </w:p>
    <w:p w14:paraId="52B33364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Приложения</w:t>
      </w:r>
    </w:p>
    <w:p w14:paraId="3FC771B3" w14:textId="77777777" w:rsidR="0011538C" w:rsidRPr="00C74E75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Неотъемлемой частью учетной политики являются:</w:t>
      </w:r>
    </w:p>
    <w:p w14:paraId="6161A8DB" w14:textId="77777777" w:rsidR="0011538C" w:rsidRDefault="00AA0C8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 документооборота (приложение № ____);</w:t>
      </w:r>
    </w:p>
    <w:p w14:paraId="766DF269" w14:textId="01F5172D" w:rsidR="00A814C7" w:rsidRPr="005037C7" w:rsidRDefault="00AA0C84" w:rsidP="00A814C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E75">
        <w:rPr>
          <w:rFonts w:hAnsi="Times New Roman" w:cs="Times New Roman"/>
          <w:color w:val="000000"/>
          <w:sz w:val="24"/>
          <w:szCs w:val="24"/>
          <w:lang w:val="ru-RU"/>
        </w:rPr>
        <w:t>перечень форм первичных документов, по которым не предусмотрены типовые формы и типовые бланки Госкомстата (приложение № ____).</w:t>
      </w:r>
    </w:p>
    <w:p w14:paraId="439A2F0F" w14:textId="690904FE" w:rsidR="0011538C" w:rsidRPr="00A814C7" w:rsidRDefault="00AA0C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="00A814C7" w:rsidRPr="00A814C7"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</w:t>
      </w:r>
      <w:r w:rsidR="00A814C7" w:rsidRPr="00A814C7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A814C7" w:rsidRPr="00AA0C8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Сидорова</w:t>
      </w:r>
      <w:r w:rsidR="00A814C7" w:rsidRPr="00A814C7">
        <w:rPr>
          <w:rFonts w:hAnsi="Times New Roman" w:cs="Times New Roman"/>
          <w:color w:val="000000"/>
          <w:sz w:val="24"/>
          <w:szCs w:val="24"/>
          <w:lang w:val="ru-RU"/>
        </w:rPr>
        <w:tab/>
        <w:t>С.С. Сидорова</w:t>
      </w:r>
    </w:p>
    <w:sectPr w:rsidR="0011538C" w:rsidRPr="00A814C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C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867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253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538C"/>
    <w:rsid w:val="002D33B1"/>
    <w:rsid w:val="002D3591"/>
    <w:rsid w:val="002E572A"/>
    <w:rsid w:val="003514A0"/>
    <w:rsid w:val="004F7E17"/>
    <w:rsid w:val="005037C7"/>
    <w:rsid w:val="005A05CE"/>
    <w:rsid w:val="00653AF6"/>
    <w:rsid w:val="006B4BA1"/>
    <w:rsid w:val="00874FDD"/>
    <w:rsid w:val="009D5E4E"/>
    <w:rsid w:val="00A814C7"/>
    <w:rsid w:val="00AA0C84"/>
    <w:rsid w:val="00B73A5A"/>
    <w:rsid w:val="00C74E75"/>
    <w:rsid w:val="00D071B5"/>
    <w:rsid w:val="00D84B3C"/>
    <w:rsid w:val="00E438A1"/>
    <w:rsid w:val="00E8490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8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81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8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2021-12-24T11:15:00Z</dcterms:created>
  <dcterms:modified xsi:type="dcterms:W3CDTF">2021-12-24T11:15:00Z</dcterms:modified>
</cp:coreProperties>
</file>