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2D" w:rsidRPr="009A5DF4" w:rsidRDefault="00AA35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A5DF4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075E2D" w:rsidRPr="009A5DF4" w:rsidRDefault="00075E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5E2D" w:rsidRPr="009A5DF4" w:rsidRDefault="00075E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5E2D" w:rsidRPr="009A5DF4" w:rsidRDefault="00AA35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5DF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lang w:val="ru-RU"/>
        </w:rPr>
        <w:br/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</w:p>
    <w:p w:rsidR="00075E2D" w:rsidRPr="009A5DF4" w:rsidRDefault="00C47EB1" w:rsidP="00C47EB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EB1">
        <w:rPr>
          <w:rFonts w:hAnsi="Times New Roman" w:cs="Times New Roman"/>
          <w:color w:val="000000"/>
          <w:sz w:val="24"/>
          <w:szCs w:val="24"/>
          <w:lang w:val="ru-RU"/>
        </w:rPr>
        <w:t>г. Москва</w:t>
      </w:r>
      <w:r w:rsidRPr="00C47EB1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31</w:t>
      </w:r>
      <w:r w:rsidRPr="00C47EB1">
        <w:rPr>
          <w:rFonts w:hAnsi="Times New Roman" w:cs="Times New Roman"/>
          <w:color w:val="000000"/>
          <w:sz w:val="24"/>
          <w:szCs w:val="24"/>
          <w:lang w:val="ru-RU"/>
        </w:rPr>
        <w:t>.12.2022</w:t>
      </w:r>
    </w:p>
    <w:p w:rsidR="00075E2D" w:rsidRDefault="00AA35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0A46">
        <w:rPr>
          <w:rFonts w:hAnsi="Times New Roman" w:cs="Times New Roman"/>
          <w:color w:val="000000"/>
          <w:sz w:val="24"/>
          <w:szCs w:val="24"/>
          <w:lang w:val="ru-RU"/>
        </w:rPr>
        <w:t>И.И.</w:t>
      </w:r>
      <w:r w:rsidR="006436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0A46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r w:rsidR="0064360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3739" w:rsidRDefault="003137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5E2D" w:rsidRDefault="003137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>Генеральный директор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</w:p>
    <w:p w:rsidR="00313739" w:rsidRPr="009A5DF4" w:rsidRDefault="003137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5E2D" w:rsidRPr="00313739" w:rsidRDefault="00AA355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313739">
        <w:rPr>
          <w:lang w:val="ru-RU"/>
        </w:rPr>
        <w:br/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 xml:space="preserve">28.12.2022 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13739">
        <w:rPr>
          <w:rFonts w:hAnsi="Times New Roman" w:cs="Times New Roman"/>
          <w:color w:val="000000"/>
          <w:sz w:val="24"/>
          <w:szCs w:val="24"/>
          <w:lang w:val="ru-RU"/>
        </w:rPr>
        <w:t xml:space="preserve"> 56</w:t>
      </w:r>
    </w:p>
    <w:p w:rsidR="00075E2D" w:rsidRPr="009A5DF4" w:rsidRDefault="00AA35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lang w:val="ru-RU"/>
        </w:rPr>
        <w:br/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Учетная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целей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5E2D" w:rsidRPr="009A5DF4" w:rsidRDefault="00AA35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06.12.2011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402-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учете»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9A5DF4" w:rsidRDefault="00AA35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29.07.1998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75E2D" w:rsidRPr="009A5DF4" w:rsidRDefault="00AA35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1/2008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организаций»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06.10.2008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106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75E2D" w:rsidRDefault="00AA35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Минфина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31.10.2000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94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075E2D" w:rsidRPr="009A5DF4" w:rsidRDefault="00AA355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02.07.2010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организаций»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t>Элементы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t>принципы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бухгалтерией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возглавляемым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06.12.2011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402-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</w:t>
      </w:r>
      <w:proofErr w:type="spellEnd"/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«Программа»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следующим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видам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активов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ведется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обособленно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075E2D" w:rsidRPr="009A5DF4" w:rsidRDefault="00075E2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5E2D" w:rsidRPr="009A5DF4" w:rsidRDefault="00AA3557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сдача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аренду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машино</w:t>
      </w:r>
      <w:proofErr w:type="spellEnd"/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Аналитический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ведется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разрезе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каждого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</w:t>
      </w:r>
      <w:r w:rsidRPr="009A5D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Обособленные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отдельный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баланс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выделяются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существенной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признается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5E2D" w:rsidRPr="009A5DF4" w:rsidRDefault="00AA355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строки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баланса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предшествующий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отчетному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75E2D" w:rsidRPr="009A5DF4" w:rsidRDefault="00AA355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величины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6.2.1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рыночной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экономике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7.4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1/2008,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22/2010,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4/99.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«Положение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инвентаризации»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06.12.2011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402-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t>Общие правила учета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отсрочке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рассрочке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приобретаемого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уплачена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отсрочки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рассрочки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1, 6, 7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15/2008,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26/2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020,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5/2019.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рациональности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считает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ретроспективные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скидки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бонусы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преференции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несущественными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превышают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преференции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скидки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скидки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«Отклонение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ценностей»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6.5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10/99,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5/2019,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26/2020,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1/2008,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06.02.2015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07-04-06/5027.</w:t>
      </w:r>
    </w:p>
    <w:p w:rsidR="00075E2D" w:rsidRPr="009A5DF4" w:rsidRDefault="00AA35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t>Документы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5E2D" w:rsidRPr="009A5DF4" w:rsidRDefault="00AA355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доработанные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разработанные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9A5DF4" w:rsidRDefault="00AA355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рекомендованные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альбомов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унифицированных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остальным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операциям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06.12.2011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402-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27/2021.</w:t>
      </w:r>
    </w:p>
    <w:p w:rsidR="00075E2D" w:rsidRDefault="00AA3557">
      <w:pPr>
        <w:rPr>
          <w:rFonts w:hAnsi="Times New Roman" w:cs="Times New Roman"/>
          <w:color w:val="000000"/>
          <w:sz w:val="24"/>
          <w:szCs w:val="24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Едиными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длящиеся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повторяющиеся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75E2D" w:rsidRPr="009A5DF4" w:rsidRDefault="00AA355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отгрузкам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произведены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5 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отгрузки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9A5DF4" w:rsidRDefault="00AA355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последнее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процентам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кредита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займа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екращения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06.12.2011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402-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27/2021,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ставляются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06.12.2011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402-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«Программа»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Бумажные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утверждены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магнитных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составленные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бумажной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06.12.2011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402-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23, 24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27/2021.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13.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предоставлено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06.12.2011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402-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27/2021.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составляться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разработчика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5E2D" w:rsidRPr="009A5DF4" w:rsidRDefault="00AA355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усиленной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назначенного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распоря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жением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доверенностью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выданной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17.2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06.04.2011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63-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распоряжений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доверенностей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доверенностей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9A5DF4" w:rsidRDefault="00AA355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форматах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разработанные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форматы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9A5DF4" w:rsidRDefault="00AA355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обмениваются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06.12.2011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402-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16, 17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27/2021.</w:t>
      </w:r>
    </w:p>
    <w:p w:rsidR="00075E2D" w:rsidRDefault="00AA3557">
      <w:pPr>
        <w:rPr>
          <w:rFonts w:hAnsi="Times New Roman" w:cs="Times New Roman"/>
          <w:color w:val="000000"/>
          <w:sz w:val="24"/>
          <w:szCs w:val="24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устанавливает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75E2D" w:rsidRDefault="00AA355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Pr="009A5DF4" w:rsidRDefault="00AA355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языках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Default="00AA355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Default="00AA355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Default="00AA355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Pr="009A5DF4" w:rsidRDefault="00AA355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технология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регламентируются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16, 28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27/2021.</w:t>
      </w:r>
    </w:p>
    <w:p w:rsidR="00075E2D" w:rsidRPr="009A5DF4" w:rsidRDefault="00AA35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t>Капвложения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t>основные средства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6/2020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отвечают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признакам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расходами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понесены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затратных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малоценных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регистре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3. 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учтенно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затратах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6/2020.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выделяет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5E2D" w:rsidRDefault="00AA355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неинвестиционная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недвижимость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Default="00075E2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075E2D" w:rsidRDefault="00AA3557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машины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оборудование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 w:rsidR="00075E2D" w:rsidRDefault="00075E2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075E2D" w:rsidRDefault="00AA3557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транспортные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 w:rsidR="00075E2D" w:rsidRDefault="00AA355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хозяйственный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инвентарь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Pr="009A5DF4" w:rsidRDefault="00AA355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завершенные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капитальные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вло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жения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техосмотра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техобслуживания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6/2020.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первоначальной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6/2020.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начинает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амортизацию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32, 35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6/2020.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20.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начинает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прекращает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месяцем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списания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средст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6/2020.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резу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льтате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изменяется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5E2D" w:rsidRDefault="00AA355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начисления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амортизации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Pr="009A5DF4" w:rsidRDefault="00AA355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первоначальный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9A5DF4" w:rsidRDefault="00AA355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ликвидационная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6/2020.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капита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08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«Вложения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внеоборотные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отдельном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субсчете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08-9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«Запасы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вложений»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5/2019,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26/2020,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t>Аренда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23.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арендодателя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субсчета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5E2D" w:rsidRDefault="00AA355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76.5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Инвестиции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аренду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Default="00AA355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76.6 </w:t>
      </w:r>
      <w:r>
        <w:rPr>
          <w:rFonts w:hAnsi="Times New Roman" w:cs="Times New Roman"/>
          <w:color w:val="000000"/>
          <w:sz w:val="24"/>
          <w:szCs w:val="24"/>
        </w:rPr>
        <w:t>«НДС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договору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аренды»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операционной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25/2018.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арендатора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25/2018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выполня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5E2D" w:rsidRPr="009A5DF4" w:rsidRDefault="00AA355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предусмотрен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арендованное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компании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выкуп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льготных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9A5DF4" w:rsidRDefault="00AA355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компания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намерена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арендованное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субаренду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9A5DF4" w:rsidRDefault="00AA355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рыночная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300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11, 12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25/2018.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26.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субсчета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5E2D" w:rsidRPr="009A5DF4" w:rsidRDefault="00AA355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08.9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«Получение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ованным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имуществом»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Default="00AA355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01.3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арендованным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имуществом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Pr="009A5DF4" w:rsidRDefault="00AA355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02.2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«Амортизация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арендованным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имуществом»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Default="00AA355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76.7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аренде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Default="00AA355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76.8 </w:t>
      </w:r>
      <w:r>
        <w:rPr>
          <w:rFonts w:hAnsi="Times New Roman" w:cs="Times New Roman"/>
          <w:color w:val="000000"/>
          <w:sz w:val="24"/>
          <w:szCs w:val="24"/>
        </w:rPr>
        <w:t>«НДС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арендному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обязательству»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5E2D" w:rsidRDefault="00AA35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пункт 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ФСБУ</w:t>
      </w:r>
      <w:r>
        <w:rPr>
          <w:rFonts w:hAnsi="Times New Roman" w:cs="Times New Roman"/>
          <w:color w:val="000000"/>
          <w:sz w:val="24"/>
          <w:szCs w:val="24"/>
        </w:rPr>
        <w:t xml:space="preserve"> 25/2018.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27.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знает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платежи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обязательство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расхода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абзацы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5, 6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11,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25/2018.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28.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арендованным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начисляется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25/2018.</w:t>
      </w:r>
    </w:p>
    <w:p w:rsidR="00075E2D" w:rsidRPr="009A5DF4" w:rsidRDefault="00AA35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Нематериальные активы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29.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начисляет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амортизацию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нематериальным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определенным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23, 28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14/2007.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30.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переоценку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14/2007.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31.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нематериальные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обесценение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14/2007.</w:t>
      </w:r>
    </w:p>
    <w:p w:rsidR="00075E2D" w:rsidRPr="009A5DF4" w:rsidRDefault="00AA35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t>Запасы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32.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5/2019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нужд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офисная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бумага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картриджи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канцелярские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подарки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затратных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абзац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5/2019.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33.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признает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единицей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запаса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номенклатурный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C3400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5/2019.</w:t>
      </w:r>
    </w:p>
    <w:p w:rsidR="00075E2D" w:rsidRPr="00C3400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34.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отпуске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выбытии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ГСМ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ГСМ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методу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взвешенной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предыдущий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C3400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неэксплуатируемые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складе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резерве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сезон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шин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двигателей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аккумуляторов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автомобильных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покрышек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запчастей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учтена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малоценных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олитики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75E2D" w:rsidRPr="00C3400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36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5/2019,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C3400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35.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Калькуляция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позаказным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C34004" w:rsidRDefault="00AA3557">
      <w:pPr>
        <w:rPr>
          <w:rFonts w:hAnsi="Times New Roman" w:cs="Times New Roman"/>
          <w:color w:val="000000"/>
          <w:sz w:val="24"/>
          <w:szCs w:val="24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Незавершенное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фактическим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затратам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4004"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 w:rsidRPr="00C34004">
        <w:rPr>
          <w:rFonts w:hAnsi="Times New Roman" w:cs="Times New Roman"/>
          <w:color w:val="000000"/>
          <w:sz w:val="24"/>
          <w:szCs w:val="24"/>
        </w:rPr>
        <w:t>прямым</w:t>
      </w:r>
      <w:proofErr w:type="spellEnd"/>
      <w:r w:rsidRPr="00C3400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4004">
        <w:rPr>
          <w:rFonts w:hAnsi="Times New Roman" w:cs="Times New Roman"/>
          <w:color w:val="000000"/>
          <w:sz w:val="24"/>
          <w:szCs w:val="24"/>
        </w:rPr>
        <w:t>затратам</w:t>
      </w:r>
      <w:proofErr w:type="spellEnd"/>
      <w:r w:rsidRPr="00C3400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4004">
        <w:rPr>
          <w:rFonts w:hAnsi="Times New Roman" w:cs="Times New Roman"/>
          <w:color w:val="000000"/>
          <w:sz w:val="24"/>
          <w:szCs w:val="24"/>
        </w:rPr>
        <w:t>относятся</w:t>
      </w:r>
      <w:proofErr w:type="spellEnd"/>
      <w:r w:rsidRPr="00C34004">
        <w:rPr>
          <w:rFonts w:hAnsi="Times New Roman" w:cs="Times New Roman"/>
          <w:color w:val="000000"/>
          <w:sz w:val="24"/>
          <w:szCs w:val="24"/>
        </w:rPr>
        <w:t>:</w:t>
      </w:r>
    </w:p>
    <w:p w:rsidR="00075E2D" w:rsidRPr="00C34004" w:rsidRDefault="00AA3557" w:rsidP="00F92D5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34004">
        <w:rPr>
          <w:rFonts w:hAnsi="Times New Roman" w:cs="Times New Roman"/>
          <w:color w:val="000000"/>
          <w:sz w:val="24"/>
          <w:szCs w:val="24"/>
        </w:rPr>
        <w:t>материальные</w:t>
      </w:r>
      <w:proofErr w:type="spellEnd"/>
      <w:r w:rsidRPr="00C3400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4004">
        <w:rPr>
          <w:rFonts w:hAnsi="Times New Roman" w:cs="Times New Roman"/>
          <w:color w:val="000000"/>
          <w:sz w:val="24"/>
          <w:szCs w:val="24"/>
        </w:rPr>
        <w:t>затраты</w:t>
      </w:r>
      <w:proofErr w:type="spellEnd"/>
      <w:r w:rsidRPr="00C34004"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Pr="00C34004" w:rsidRDefault="00AA3557" w:rsidP="00F92D5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затраты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занятых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C34004" w:rsidRDefault="00AA3557" w:rsidP="00F92D5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C34004" w:rsidRDefault="00AA3557" w:rsidP="00F92D5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C34004" w:rsidRDefault="00AA3557" w:rsidP="00F92D51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аренда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C3400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косвенными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«Общепроизводственные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расходы»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заказами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прямых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признанных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C3400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ункты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9, 23, 24, 25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5/2019, 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34004">
        <w:rPr>
          <w:rFonts w:hAnsi="Times New Roman" w:cs="Times New Roman"/>
          <w:color w:val="000000"/>
          <w:sz w:val="24"/>
          <w:szCs w:val="24"/>
        </w:rPr>
        <w:t> 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C34004">
        <w:rPr>
          <w:rFonts w:hAnsi="Times New Roman" w:cs="Times New Roman"/>
          <w:color w:val="000000"/>
          <w:sz w:val="24"/>
          <w:szCs w:val="24"/>
          <w:lang w:val="ru-RU"/>
        </w:rPr>
        <w:t xml:space="preserve"> 10/99.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36.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обесценение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обесценения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75E2D" w:rsidRDefault="00AA355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устаревания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запасов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5E2D" w:rsidRPr="009A5DF4" w:rsidRDefault="00AA355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первоначальных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5E2D" w:rsidRPr="009A5DF4" w:rsidRDefault="00AA3557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рыночной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обесценение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незавершенное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28, 30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ФСБУ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5/2019,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21/2008,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9/99.</w:t>
      </w:r>
    </w:p>
    <w:p w:rsidR="00075E2D" w:rsidRPr="009A5DF4" w:rsidRDefault="00AA35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t>Финансовые вложения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37.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приобретением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уплачиваемых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продавцу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расходами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существенности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19/02.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38.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рыночная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рыночную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корректируется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ежеквартально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19/02.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39.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рыночная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оце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ниваются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первоначальной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19/02.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40.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обесценение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обесценение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19/02.</w:t>
      </w:r>
    </w:p>
    <w:p w:rsidR="00075E2D" w:rsidRPr="009A5DF4" w:rsidRDefault="00AA35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A5DF4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Прочие условия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41.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сомнительным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долгам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производятся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ежеквартально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42.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сомнительным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долгам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A5DF4">
        <w:rPr>
          <w:lang w:val="ru-RU"/>
        </w:rPr>
        <w:br/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должником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A5DF4">
        <w:rPr>
          <w:lang w:val="ru-RU"/>
        </w:rPr>
        <w:br/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возбуждение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банкротства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должника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резервы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сомнительным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долгам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размерах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0"/>
        <w:gridCol w:w="2611"/>
        <w:gridCol w:w="2816"/>
      </w:tblGrid>
      <w:tr w:rsidR="00075E2D" w:rsidRPr="009A5D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Default="00AA3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Pr="009A5DF4" w:rsidRDefault="00AA3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Обстоятельства</w:t>
            </w:r>
            <w:r w:rsidRPr="009A5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9A5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9A5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9A5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сомнительной</w:t>
            </w:r>
          </w:p>
        </w:tc>
      </w:tr>
      <w:tr w:rsidR="00075E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Pr="009A5DF4" w:rsidRDefault="00075E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Default="00AA3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Подпункт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Default="00AA3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Подпункт «б»</w:t>
            </w:r>
          </w:p>
        </w:tc>
      </w:tr>
      <w:tr w:rsidR="00075E2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Pr="009A5DF4" w:rsidRDefault="00AA3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Просрочки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меньше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Default="00AA3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Default="00AA3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075E2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Pr="009A5DF4" w:rsidRDefault="00AA3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Просрочка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D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Default="00AA3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Default="00AA3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075E2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Default="00AA3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Просрочка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Default="00AA3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E2D" w:rsidRDefault="00075E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истек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исковой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давности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подтверждающая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нереальность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долгов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сомнительным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долгам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70, 77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43.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использованных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отчетную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дневного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заработка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послед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начисленных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16, 17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МСФО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IAS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) 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«Вознаграждения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работникам»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5, 8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8/2010,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7,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7.1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1/2008.</w:t>
      </w:r>
    </w:p>
    <w:p w:rsidR="00075E2D" w:rsidRPr="009A5DF4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44.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налог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прибыль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балансовым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налоговой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декларации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налогу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прибыль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разницы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99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«Прибыли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убытки»</w:t>
      </w:r>
      <w:r w:rsidRPr="009A5D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E2D" w:rsidRDefault="00AA35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B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</w:t>
      </w:r>
      <w:r w:rsidRPr="00F05B9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5B93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B93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B93">
        <w:rPr>
          <w:rFonts w:hAnsi="Times New Roman" w:cs="Times New Roman"/>
          <w:color w:val="000000"/>
          <w:sz w:val="24"/>
          <w:szCs w:val="24"/>
          <w:lang w:val="ru-RU"/>
        </w:rPr>
        <w:t>ПБУ</w:t>
      </w:r>
      <w:r w:rsidRPr="00F05B93">
        <w:rPr>
          <w:rFonts w:hAnsi="Times New Roman" w:cs="Times New Roman"/>
          <w:color w:val="000000"/>
          <w:sz w:val="24"/>
          <w:szCs w:val="24"/>
          <w:lang w:val="ru-RU"/>
        </w:rPr>
        <w:t xml:space="preserve"> 18/02.</w:t>
      </w:r>
    </w:p>
    <w:p w:rsidR="00F05B93" w:rsidRPr="00F05B93" w:rsidRDefault="00F05B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5E2D" w:rsidRPr="00F05B93" w:rsidRDefault="00F05B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B93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</w:t>
      </w:r>
      <w:r w:rsidRPr="00F05B93">
        <w:rPr>
          <w:rFonts w:hAnsi="Times New Roman" w:cs="Times New Roman"/>
          <w:color w:val="000000"/>
          <w:sz w:val="24"/>
          <w:szCs w:val="24"/>
          <w:lang w:val="ru-RU"/>
        </w:rPr>
        <w:tab/>
        <w:t>Иванова</w:t>
      </w:r>
      <w:r w:rsidRPr="00F05B93">
        <w:rPr>
          <w:rFonts w:hAnsi="Times New Roman" w:cs="Times New Roman"/>
          <w:color w:val="000000"/>
          <w:sz w:val="24"/>
          <w:szCs w:val="24"/>
          <w:lang w:val="ru-RU"/>
        </w:rPr>
        <w:tab/>
        <w:t>И.И. Иванова</w:t>
      </w:r>
    </w:p>
    <w:p w:rsidR="00A00135" w:rsidRPr="00F05B93" w:rsidRDefault="00A00135">
      <w:pPr>
        <w:rPr>
          <w:lang w:val="ru-RU"/>
        </w:rPr>
      </w:pPr>
    </w:p>
    <w:sectPr w:rsidR="00A00135" w:rsidRPr="00F05B9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F5B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87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77F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B7F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73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B67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00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C1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436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5963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E50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1E19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557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5E2D"/>
    <w:rsid w:val="000D62A8"/>
    <w:rsid w:val="00116F81"/>
    <w:rsid w:val="002D33B1"/>
    <w:rsid w:val="002D3591"/>
    <w:rsid w:val="00313739"/>
    <w:rsid w:val="003514A0"/>
    <w:rsid w:val="0043273F"/>
    <w:rsid w:val="00442680"/>
    <w:rsid w:val="004961CE"/>
    <w:rsid w:val="004F7E17"/>
    <w:rsid w:val="005A05CE"/>
    <w:rsid w:val="00643606"/>
    <w:rsid w:val="00653AF6"/>
    <w:rsid w:val="009A5DF4"/>
    <w:rsid w:val="00A00135"/>
    <w:rsid w:val="00AA3557"/>
    <w:rsid w:val="00B73A5A"/>
    <w:rsid w:val="00C34004"/>
    <w:rsid w:val="00C47EB1"/>
    <w:rsid w:val="00CD0A46"/>
    <w:rsid w:val="00E438A1"/>
    <w:rsid w:val="00F01E19"/>
    <w:rsid w:val="00F05B93"/>
    <w:rsid w:val="00F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2023-05-12T11:45:00Z</dcterms:created>
  <dcterms:modified xsi:type="dcterms:W3CDTF">2023-05-12T11:45:00Z</dcterms:modified>
</cp:coreProperties>
</file>