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72" w:rsidRPr="00E36912" w:rsidRDefault="00631C72" w:rsidP="00784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912">
        <w:rPr>
          <w:rFonts w:ascii="Times New Roman" w:hAnsi="Times New Roman" w:cs="Times New Roman"/>
          <w:b/>
          <w:sz w:val="24"/>
          <w:szCs w:val="24"/>
        </w:rPr>
        <w:t>Лицензионный договор</w:t>
      </w:r>
    </w:p>
    <w:p w:rsidR="00631C72" w:rsidRPr="00E36912" w:rsidRDefault="00631C72" w:rsidP="00784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912">
        <w:rPr>
          <w:rFonts w:ascii="Times New Roman" w:hAnsi="Times New Roman" w:cs="Times New Roman"/>
          <w:b/>
          <w:sz w:val="24"/>
          <w:szCs w:val="24"/>
        </w:rPr>
        <w:t>на использование изобретения</w:t>
      </w:r>
    </w:p>
    <w:p w:rsidR="00631C72" w:rsidRPr="00E36912" w:rsidRDefault="00631C72" w:rsidP="00631C72">
      <w:pPr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631C72">
      <w:pPr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r w:rsidRPr="00E36912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E36912">
        <w:rPr>
          <w:rFonts w:ascii="Times New Roman" w:hAnsi="Times New Roman" w:cs="Times New Roman"/>
          <w:sz w:val="24"/>
          <w:szCs w:val="24"/>
        </w:rPr>
        <w:t xml:space="preserve"> </w:t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="0078478B" w:rsidRPr="00E36912">
        <w:rPr>
          <w:rFonts w:ascii="Times New Roman" w:hAnsi="Times New Roman" w:cs="Times New Roman"/>
          <w:sz w:val="24"/>
          <w:szCs w:val="24"/>
        </w:rPr>
        <w:tab/>
      </w:r>
      <w:r w:rsidRPr="00E36912">
        <w:rPr>
          <w:rFonts w:ascii="Times New Roman" w:hAnsi="Times New Roman" w:cs="Times New Roman"/>
          <w:sz w:val="24"/>
          <w:szCs w:val="24"/>
        </w:rPr>
        <w:t>17</w:t>
      </w:r>
      <w:r w:rsidR="00E36912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E36912">
        <w:rPr>
          <w:rFonts w:ascii="Times New Roman" w:hAnsi="Times New Roman" w:cs="Times New Roman"/>
          <w:sz w:val="24"/>
          <w:szCs w:val="24"/>
        </w:rPr>
        <w:t>2023</w:t>
      </w:r>
      <w:r w:rsidR="00E36912">
        <w:rPr>
          <w:rFonts w:ascii="Times New Roman" w:hAnsi="Times New Roman" w:cs="Times New Roman"/>
          <w:sz w:val="24"/>
          <w:szCs w:val="24"/>
        </w:rPr>
        <w:t xml:space="preserve"> </w:t>
      </w:r>
      <w:r w:rsidRPr="00E36912">
        <w:rPr>
          <w:rFonts w:ascii="Times New Roman" w:hAnsi="Times New Roman" w:cs="Times New Roman"/>
          <w:sz w:val="24"/>
          <w:szCs w:val="24"/>
        </w:rPr>
        <w:t>г.</w:t>
      </w:r>
    </w:p>
    <w:p w:rsidR="00631C72" w:rsidRPr="00E36912" w:rsidRDefault="00631C72" w:rsidP="00631C72">
      <w:pPr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CF22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E36912">
        <w:rPr>
          <w:rFonts w:ascii="Times New Roman" w:hAnsi="Times New Roman" w:cs="Times New Roman"/>
          <w:sz w:val="24"/>
          <w:szCs w:val="24"/>
        </w:rPr>
        <w:t>«Приз»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далее именуемое </w:t>
      </w:r>
      <w:r w:rsidR="00E36912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Лицензиар</w:t>
      </w:r>
      <w:r w:rsidR="00E36912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36912">
        <w:rPr>
          <w:rFonts w:ascii="Times New Roman" w:hAnsi="Times New Roman" w:cs="Times New Roman"/>
          <w:sz w:val="24"/>
          <w:szCs w:val="24"/>
        </w:rPr>
        <w:t>генерального</w:t>
      </w:r>
      <w:r w:rsidRPr="00E36912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E36912">
        <w:rPr>
          <w:rFonts w:ascii="Times New Roman" w:hAnsi="Times New Roman" w:cs="Times New Roman"/>
          <w:sz w:val="24"/>
          <w:szCs w:val="24"/>
        </w:rPr>
        <w:t>Петрова Михаила Николаевича</w:t>
      </w:r>
      <w:r w:rsidRPr="00E36912">
        <w:rPr>
          <w:rFonts w:ascii="Times New Roman" w:hAnsi="Times New Roman" w:cs="Times New Roman"/>
          <w:sz w:val="24"/>
          <w:szCs w:val="24"/>
        </w:rPr>
        <w:t>, действующе</w:t>
      </w:r>
      <w:r w:rsidR="00E36912">
        <w:rPr>
          <w:rFonts w:ascii="Times New Roman" w:hAnsi="Times New Roman" w:cs="Times New Roman"/>
          <w:sz w:val="24"/>
          <w:szCs w:val="24"/>
        </w:rPr>
        <w:t>го</w:t>
      </w:r>
      <w:r w:rsidRPr="00E3691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E36912">
        <w:rPr>
          <w:rFonts w:ascii="Times New Roman" w:hAnsi="Times New Roman" w:cs="Times New Roman"/>
          <w:sz w:val="24"/>
          <w:szCs w:val="24"/>
        </w:rPr>
        <w:t>Устава</w:t>
      </w:r>
      <w:r w:rsidRPr="00E36912">
        <w:rPr>
          <w:rFonts w:ascii="Times New Roman" w:hAnsi="Times New Roman" w:cs="Times New Roman"/>
          <w:sz w:val="24"/>
          <w:szCs w:val="24"/>
        </w:rPr>
        <w:t xml:space="preserve">, с одной стороны и общество с ограниченной ответственностью </w:t>
      </w:r>
      <w:r w:rsidR="00E36912">
        <w:rPr>
          <w:rFonts w:ascii="Times New Roman" w:hAnsi="Times New Roman" w:cs="Times New Roman"/>
          <w:sz w:val="24"/>
          <w:szCs w:val="24"/>
        </w:rPr>
        <w:t>«Аспект»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далее именуемое </w:t>
      </w:r>
      <w:r w:rsidR="00E36912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Лицензиат</w:t>
      </w:r>
      <w:r w:rsidR="00E36912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E36912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E36912">
        <w:rPr>
          <w:rFonts w:ascii="Times New Roman" w:hAnsi="Times New Roman" w:cs="Times New Roman"/>
          <w:sz w:val="24"/>
          <w:szCs w:val="24"/>
        </w:rPr>
        <w:t>Просикова</w:t>
      </w:r>
      <w:proofErr w:type="spellEnd"/>
      <w:r w:rsidR="00E36912">
        <w:rPr>
          <w:rFonts w:ascii="Times New Roman" w:hAnsi="Times New Roman" w:cs="Times New Roman"/>
          <w:sz w:val="24"/>
          <w:szCs w:val="24"/>
        </w:rPr>
        <w:t xml:space="preserve"> Алексея Сергеевича</w:t>
      </w:r>
      <w:r w:rsidRPr="00E36912">
        <w:rPr>
          <w:rFonts w:ascii="Times New Roman" w:hAnsi="Times New Roman" w:cs="Times New Roman"/>
          <w:sz w:val="24"/>
          <w:szCs w:val="24"/>
        </w:rPr>
        <w:t>, действующе</w:t>
      </w:r>
      <w:r w:rsidR="00E36912">
        <w:rPr>
          <w:rFonts w:ascii="Times New Roman" w:hAnsi="Times New Roman" w:cs="Times New Roman"/>
          <w:sz w:val="24"/>
          <w:szCs w:val="24"/>
        </w:rPr>
        <w:t>го</w:t>
      </w:r>
      <w:r w:rsidRPr="00E3691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E36912">
        <w:rPr>
          <w:rFonts w:ascii="Times New Roman" w:hAnsi="Times New Roman" w:cs="Times New Roman"/>
          <w:sz w:val="24"/>
          <w:szCs w:val="24"/>
        </w:rPr>
        <w:t>Устава</w:t>
      </w:r>
      <w:r w:rsidRPr="00E36912">
        <w:rPr>
          <w:rFonts w:ascii="Times New Roman" w:hAnsi="Times New Roman" w:cs="Times New Roman"/>
          <w:sz w:val="24"/>
          <w:szCs w:val="24"/>
        </w:rPr>
        <w:t xml:space="preserve">, с другой стороны, далее совместно именуемые </w:t>
      </w:r>
      <w:r w:rsidR="00E36912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Стороны</w:t>
      </w:r>
      <w:r w:rsidR="00E36912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1.1. Лицензиар предоставляет Лицензиату за вознаграждение право использовать изобретение </w:t>
      </w:r>
      <w:r w:rsidR="00B7233C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 xml:space="preserve">Способ получения консервированного продукта для детского питания на </w:t>
      </w:r>
      <w:proofErr w:type="spellStart"/>
      <w:r w:rsidR="004B03D1">
        <w:rPr>
          <w:rFonts w:ascii="Times New Roman" w:hAnsi="Times New Roman" w:cs="Times New Roman"/>
          <w:sz w:val="24"/>
          <w:szCs w:val="24"/>
        </w:rPr>
        <w:t>масной</w:t>
      </w:r>
      <w:proofErr w:type="spellEnd"/>
      <w:r w:rsidRPr="00E36912">
        <w:rPr>
          <w:rFonts w:ascii="Times New Roman" w:hAnsi="Times New Roman" w:cs="Times New Roman"/>
          <w:sz w:val="24"/>
          <w:szCs w:val="24"/>
        </w:rPr>
        <w:t xml:space="preserve"> основе</w:t>
      </w:r>
      <w:r w:rsidR="00B7233C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охраняемое патентом РФ </w:t>
      </w:r>
      <w:r w:rsidR="00B7233C">
        <w:rPr>
          <w:rFonts w:ascii="Times New Roman" w:hAnsi="Times New Roman" w:cs="Times New Roman"/>
          <w:sz w:val="24"/>
          <w:szCs w:val="24"/>
        </w:rPr>
        <w:t>№</w:t>
      </w:r>
      <w:r w:rsidRPr="00E36912">
        <w:rPr>
          <w:rFonts w:ascii="Times New Roman" w:hAnsi="Times New Roman" w:cs="Times New Roman"/>
          <w:sz w:val="24"/>
          <w:szCs w:val="24"/>
        </w:rPr>
        <w:t>2</w:t>
      </w:r>
      <w:r w:rsidR="00B7233C">
        <w:rPr>
          <w:rFonts w:ascii="Times New Roman" w:hAnsi="Times New Roman" w:cs="Times New Roman"/>
          <w:sz w:val="24"/>
          <w:szCs w:val="24"/>
        </w:rPr>
        <w:t>76</w:t>
      </w:r>
      <w:r w:rsidRPr="00E36912">
        <w:rPr>
          <w:rFonts w:ascii="Times New Roman" w:hAnsi="Times New Roman" w:cs="Times New Roman"/>
          <w:sz w:val="24"/>
          <w:szCs w:val="24"/>
        </w:rPr>
        <w:t>14</w:t>
      </w:r>
      <w:r w:rsidR="00B7233C">
        <w:rPr>
          <w:rFonts w:ascii="Times New Roman" w:hAnsi="Times New Roman" w:cs="Times New Roman"/>
          <w:sz w:val="24"/>
          <w:szCs w:val="24"/>
        </w:rPr>
        <w:t>01</w:t>
      </w:r>
      <w:r w:rsidRPr="00E36912">
        <w:rPr>
          <w:rFonts w:ascii="Times New Roman" w:hAnsi="Times New Roman" w:cs="Times New Roman"/>
          <w:sz w:val="24"/>
          <w:szCs w:val="24"/>
        </w:rPr>
        <w:t xml:space="preserve"> и зарегистрированное в Государственном реестре изобретений Российской Федерации </w:t>
      </w:r>
      <w:r w:rsidR="004B03D1">
        <w:rPr>
          <w:rFonts w:ascii="Times New Roman" w:hAnsi="Times New Roman" w:cs="Times New Roman"/>
          <w:sz w:val="24"/>
          <w:szCs w:val="24"/>
        </w:rPr>
        <w:t>05</w:t>
      </w:r>
      <w:r w:rsidRPr="00E36912">
        <w:rPr>
          <w:rFonts w:ascii="Times New Roman" w:hAnsi="Times New Roman" w:cs="Times New Roman"/>
          <w:sz w:val="24"/>
          <w:szCs w:val="24"/>
        </w:rPr>
        <w:t>.</w:t>
      </w:r>
      <w:r w:rsidR="004B03D1">
        <w:rPr>
          <w:rFonts w:ascii="Times New Roman" w:hAnsi="Times New Roman" w:cs="Times New Roman"/>
          <w:sz w:val="24"/>
          <w:szCs w:val="24"/>
        </w:rPr>
        <w:t>03</w:t>
      </w:r>
      <w:r w:rsidRPr="00E36912">
        <w:rPr>
          <w:rFonts w:ascii="Times New Roman" w:hAnsi="Times New Roman" w:cs="Times New Roman"/>
          <w:sz w:val="24"/>
          <w:szCs w:val="24"/>
        </w:rPr>
        <w:t>.20</w:t>
      </w:r>
      <w:r w:rsidR="004B03D1">
        <w:rPr>
          <w:rFonts w:ascii="Times New Roman" w:hAnsi="Times New Roman" w:cs="Times New Roman"/>
          <w:sz w:val="24"/>
          <w:szCs w:val="24"/>
        </w:rPr>
        <w:t>12</w:t>
      </w:r>
      <w:r w:rsidRPr="00E36912">
        <w:rPr>
          <w:rFonts w:ascii="Times New Roman" w:hAnsi="Times New Roman" w:cs="Times New Roman"/>
          <w:sz w:val="24"/>
          <w:szCs w:val="24"/>
        </w:rPr>
        <w:t xml:space="preserve"> с приоритетом от 0</w:t>
      </w:r>
      <w:r w:rsidR="004B03D1">
        <w:rPr>
          <w:rFonts w:ascii="Times New Roman" w:hAnsi="Times New Roman" w:cs="Times New Roman"/>
          <w:sz w:val="24"/>
          <w:szCs w:val="24"/>
        </w:rPr>
        <w:t>7</w:t>
      </w:r>
      <w:r w:rsidRPr="00E36912">
        <w:rPr>
          <w:rFonts w:ascii="Times New Roman" w:hAnsi="Times New Roman" w:cs="Times New Roman"/>
          <w:sz w:val="24"/>
          <w:szCs w:val="24"/>
        </w:rPr>
        <w:t>.0</w:t>
      </w:r>
      <w:r w:rsidR="004B03D1">
        <w:rPr>
          <w:rFonts w:ascii="Times New Roman" w:hAnsi="Times New Roman" w:cs="Times New Roman"/>
          <w:sz w:val="24"/>
          <w:szCs w:val="24"/>
        </w:rPr>
        <w:t>8</w:t>
      </w:r>
      <w:r w:rsidRPr="00E36912">
        <w:rPr>
          <w:rFonts w:ascii="Times New Roman" w:hAnsi="Times New Roman" w:cs="Times New Roman"/>
          <w:sz w:val="24"/>
          <w:szCs w:val="24"/>
        </w:rPr>
        <w:t>.20</w:t>
      </w:r>
      <w:r w:rsidR="004B03D1">
        <w:rPr>
          <w:rFonts w:ascii="Times New Roman" w:hAnsi="Times New Roman" w:cs="Times New Roman"/>
          <w:sz w:val="24"/>
          <w:szCs w:val="24"/>
        </w:rPr>
        <w:t>10</w:t>
      </w:r>
      <w:r w:rsidRPr="00E36912">
        <w:rPr>
          <w:rFonts w:ascii="Times New Roman" w:hAnsi="Times New Roman" w:cs="Times New Roman"/>
          <w:sz w:val="24"/>
          <w:szCs w:val="24"/>
        </w:rPr>
        <w:t xml:space="preserve"> и сроком действия патента до 0</w:t>
      </w:r>
      <w:r w:rsidR="004B03D1">
        <w:rPr>
          <w:rFonts w:ascii="Times New Roman" w:hAnsi="Times New Roman" w:cs="Times New Roman"/>
          <w:sz w:val="24"/>
          <w:szCs w:val="24"/>
        </w:rPr>
        <w:t>7</w:t>
      </w:r>
      <w:r w:rsidRPr="00E36912">
        <w:rPr>
          <w:rFonts w:ascii="Times New Roman" w:hAnsi="Times New Roman" w:cs="Times New Roman"/>
          <w:sz w:val="24"/>
          <w:szCs w:val="24"/>
        </w:rPr>
        <w:t>.0</w:t>
      </w:r>
      <w:r w:rsidR="004B03D1">
        <w:rPr>
          <w:rFonts w:ascii="Times New Roman" w:hAnsi="Times New Roman" w:cs="Times New Roman"/>
          <w:sz w:val="24"/>
          <w:szCs w:val="24"/>
        </w:rPr>
        <w:t>8</w:t>
      </w:r>
      <w:r w:rsidRPr="00E36912">
        <w:rPr>
          <w:rFonts w:ascii="Times New Roman" w:hAnsi="Times New Roman" w:cs="Times New Roman"/>
          <w:sz w:val="24"/>
          <w:szCs w:val="24"/>
        </w:rPr>
        <w:t>.20</w:t>
      </w:r>
      <w:r w:rsidR="004B03D1">
        <w:rPr>
          <w:rFonts w:ascii="Times New Roman" w:hAnsi="Times New Roman" w:cs="Times New Roman"/>
          <w:sz w:val="24"/>
          <w:szCs w:val="24"/>
        </w:rPr>
        <w:t>30</w:t>
      </w:r>
      <w:r w:rsidRPr="00E36912">
        <w:rPr>
          <w:rFonts w:ascii="Times New Roman" w:hAnsi="Times New Roman" w:cs="Times New Roman"/>
          <w:sz w:val="24"/>
          <w:szCs w:val="24"/>
        </w:rPr>
        <w:t xml:space="preserve"> (далее - Изобретение, Запатентованный способ), в течение установленного разд. 3 Договора срока, а Лицензиат обязуется уплатить Лицензиару установленное разд. 2 Договора вознаграждение.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1.2. Лицензиар предоставляет Лицензиату право применять Запатентованный способ, изготавливать Запатентованным способом продукцию, а также предлагать к продаже, продавать и иным образом вводить в хозяйственный оборот и хранить в этих целях продукцию, изготовленную Запатентованным способом (далее - Продукция) на территории Российской Федерации.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1.3. Технологические, санитарно-гигиенические и другие показатели Продукции должны соответствовать ГОСТ 34426-2018 </w:t>
      </w:r>
      <w:r w:rsidR="004B03D1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 xml:space="preserve">Полуфабрикаты </w:t>
      </w:r>
      <w:proofErr w:type="spellStart"/>
      <w:r w:rsidRPr="00E36912">
        <w:rPr>
          <w:rFonts w:ascii="Times New Roman" w:hAnsi="Times New Roman" w:cs="Times New Roman"/>
          <w:sz w:val="24"/>
          <w:szCs w:val="24"/>
        </w:rPr>
        <w:t>мясосодержащие</w:t>
      </w:r>
      <w:proofErr w:type="spellEnd"/>
      <w:r w:rsidRPr="00E36912">
        <w:rPr>
          <w:rFonts w:ascii="Times New Roman" w:hAnsi="Times New Roman" w:cs="Times New Roman"/>
          <w:sz w:val="24"/>
          <w:szCs w:val="24"/>
        </w:rPr>
        <w:t xml:space="preserve"> для детского питания. Общие технические условия</w:t>
      </w:r>
      <w:r w:rsidR="004B03D1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ГОСТ Р 54628-2011 </w:t>
      </w:r>
      <w:r w:rsidR="004B03D1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Продукты для детского питания. Консервы мясные. Пюре для прикорма детей раннего возраста. Технические условия</w:t>
      </w:r>
      <w:r w:rsidR="004B03D1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ГОСТ 34423-2018 </w:t>
      </w:r>
      <w:r w:rsidR="004B03D1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Консервы мясорастительные рубленые стерилизованные для питания детей старше трех лет. Каши с мясом. Технические условия</w:t>
      </w:r>
      <w:r w:rsidR="004B03D1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ГОСТ 34422-2018 </w:t>
      </w:r>
      <w:r w:rsidR="004B03D1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Консервы мясные стерилизованные для питания детей старше трех лет. Общие технические условия</w:t>
      </w:r>
      <w:r w:rsidR="004B03D1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СанПиН 2.3/2.4.3590-20 </w:t>
      </w:r>
      <w:r w:rsidR="004B03D1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 w:rsidR="004B03D1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 и другим применимым в РФ правилам и стандартам.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1.4. Права, указанные в п. 1.2 настоящего Договора, предоставлены Лицензиату на условиях простой (неисключительной) лицензии.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lastRenderedPageBreak/>
        <w:t>1.5. Лицензиар сохраняет за собой право самому использовать и предоставлять права использования Изобретения третьим лицам на любой территории.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1.6. Лицензиат не наделяется правом предоставлять сублицензии.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2. Лицензионные платежи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2.1. За использование Изобретения Лицензиат выплачивает Лицензиару следующее комбинированное вознаграждение (НДС не облагается (</w:t>
      </w:r>
      <w:proofErr w:type="spellStart"/>
      <w:r w:rsidRPr="00E3691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36912">
        <w:rPr>
          <w:rFonts w:ascii="Times New Roman" w:hAnsi="Times New Roman" w:cs="Times New Roman"/>
          <w:sz w:val="24"/>
          <w:szCs w:val="24"/>
        </w:rPr>
        <w:t>. 26.1 п. 2 ст. 149 НК РФ)).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2.1.1. Паушальный платеж в размере </w:t>
      </w:r>
      <w:r w:rsidR="004B03D1">
        <w:rPr>
          <w:rFonts w:ascii="Times New Roman" w:hAnsi="Times New Roman" w:cs="Times New Roman"/>
          <w:sz w:val="24"/>
          <w:szCs w:val="24"/>
        </w:rPr>
        <w:t>2</w:t>
      </w:r>
      <w:r w:rsidRPr="00E36912">
        <w:rPr>
          <w:rFonts w:ascii="Times New Roman" w:hAnsi="Times New Roman" w:cs="Times New Roman"/>
          <w:sz w:val="24"/>
          <w:szCs w:val="24"/>
        </w:rPr>
        <w:t>80 000 (</w:t>
      </w:r>
      <w:r w:rsidR="004B03D1">
        <w:rPr>
          <w:rFonts w:ascii="Times New Roman" w:hAnsi="Times New Roman" w:cs="Times New Roman"/>
          <w:sz w:val="24"/>
          <w:szCs w:val="24"/>
        </w:rPr>
        <w:t>двести</w:t>
      </w:r>
      <w:r w:rsidRPr="00E36912">
        <w:rPr>
          <w:rFonts w:ascii="Times New Roman" w:hAnsi="Times New Roman" w:cs="Times New Roman"/>
          <w:sz w:val="24"/>
          <w:szCs w:val="24"/>
        </w:rPr>
        <w:t xml:space="preserve"> восемьдесят тысяч) руб</w:t>
      </w:r>
      <w:r w:rsidR="004B03D1">
        <w:rPr>
          <w:rFonts w:ascii="Times New Roman" w:hAnsi="Times New Roman" w:cs="Times New Roman"/>
          <w:sz w:val="24"/>
          <w:szCs w:val="24"/>
        </w:rPr>
        <w:t>лей</w:t>
      </w:r>
      <w:r w:rsidRPr="00E36912">
        <w:rPr>
          <w:rFonts w:ascii="Times New Roman" w:hAnsi="Times New Roman" w:cs="Times New Roman"/>
          <w:sz w:val="24"/>
          <w:szCs w:val="24"/>
        </w:rPr>
        <w:t>, который уплачивается Лицензиатом в порядке, установленном п. 2.2 Договора.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2.1.2. Последующие ежемесячные платежи в форме роялти (далее - Роялти), размер и порядок уплаты которых определяются в п. п. 2.3 - 2.6 Договора.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2.2. Паушальный платеж, указанный в п. 2.1.1 Договора, уплачивается Лицензиатом в течение 10 (десяти) календарных дней с даты регистрации предоставления права на использование Изобретения по Договору в Роспатенте (далее - Дата Регистрации).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2.3. Размер Роялти составляет </w:t>
      </w:r>
      <w:r w:rsidR="004B03D1">
        <w:rPr>
          <w:rFonts w:ascii="Times New Roman" w:hAnsi="Times New Roman" w:cs="Times New Roman"/>
          <w:sz w:val="24"/>
          <w:szCs w:val="24"/>
        </w:rPr>
        <w:t>5</w:t>
      </w:r>
      <w:r w:rsidRPr="00E36912">
        <w:rPr>
          <w:rFonts w:ascii="Times New Roman" w:hAnsi="Times New Roman" w:cs="Times New Roman"/>
          <w:sz w:val="24"/>
          <w:szCs w:val="24"/>
        </w:rPr>
        <w:t xml:space="preserve"> (</w:t>
      </w:r>
      <w:r w:rsidR="004B03D1">
        <w:rPr>
          <w:rFonts w:ascii="Times New Roman" w:hAnsi="Times New Roman" w:cs="Times New Roman"/>
          <w:sz w:val="24"/>
          <w:szCs w:val="24"/>
        </w:rPr>
        <w:t>пять</w:t>
      </w:r>
      <w:r w:rsidRPr="00E36912">
        <w:rPr>
          <w:rFonts w:ascii="Times New Roman" w:hAnsi="Times New Roman" w:cs="Times New Roman"/>
          <w:sz w:val="24"/>
          <w:szCs w:val="24"/>
        </w:rPr>
        <w:t>) % от Нетто продаж Лицензиатом Продукции за расчетный месяц. Под Нетто продаж понимается общая сумма, которая получена Лицензиатом за расчетный месяц от покупателей Продукции, реализованной Лицензиатом, за вычетом НДС.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2.4. Платежи Роялти уплачиваются Лицензиатом ежемесячно до 2</w:t>
      </w:r>
      <w:r w:rsidR="00013FFA">
        <w:rPr>
          <w:rFonts w:ascii="Times New Roman" w:hAnsi="Times New Roman" w:cs="Times New Roman"/>
          <w:sz w:val="24"/>
          <w:szCs w:val="24"/>
        </w:rPr>
        <w:t>5</w:t>
      </w:r>
      <w:r w:rsidRPr="00E36912">
        <w:rPr>
          <w:rFonts w:ascii="Times New Roman" w:hAnsi="Times New Roman" w:cs="Times New Roman"/>
          <w:sz w:val="24"/>
          <w:szCs w:val="24"/>
        </w:rPr>
        <w:t>-го числа календарного месяца, следующего за расчетным, в течение всего срока действия Договора.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2.5. Первым расчетным месяцем для расчета и уплаты Роялти считается календарный месяц, следующий за месяцем, в котором имела место Дата Регистрации.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2.6. Лицензиат перечисляет вознаграждение на расчетный счет Лицензиара по указанным в Договоре банковским реквизитам. Обязанность Лицензиата по оплате вознаграждения считается исполненной с даты поступления денежных средств на корреспондентский счет банка Лицензиара.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3.1. Право использовать Изобретение предоставляется Лицензиату на весь срок действия исключительного права на Изобретение.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3.2. Настоящий Договор вступает в силу с момента его подписания обеими Сторонами и действует в течение срока действия исключительного права на Изобретение.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4. Передача технической документации,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lastRenderedPageBreak/>
        <w:t>техподдержка и обязательства Сторон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4.1. Лицензиар передает уполномоченному представителю Лицензиата всю необходимую и достаточную для использования Изобретения техническую и иную документацию в течение 3 (трех) календарных дней с Даты Регистрации по двустороннему акту приема-передачи.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4.2. Если Лицензиат в любое время в период действия Договора установит неполноту или неправильность полученной от Лицензиара документации, то Лицензиар обязан в течение 7 календарных дней после поступления письменного запроса передать Лицензиату недостающую или исправленную документацию.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4.3. В период действия Договора Лицензиар обязуется оказывать Лицензиату техническую и консультационную поддержку в освоении производства Продукции и при необходимости поставку образцов Продукции. Порядок и условия предоставления такой поддержки Стороны урегулируют в отдельном соглашении.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4.4. Лицензиар гарантирует, что производство Продукции на предприятии Лицензиата технически осуществимо при условии полного соблюдения Лицензиатом технических условий и инструкций Лицензиара, включая требования, которые установлены Требованиями к лицензионной продукции и производству.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4.5. Лицензиат обязуется изготавливать Продукцию в полном соответствии с полученной технической документацией и инструкциями Лицензиара.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5. Информация и отчетность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5.1. Ежемесячно Лицензиат направляет Лицензиару отчет, в котором указываются следующие данные за расчетный месяц: объем производства Продукции, данные о продажах Продукции, продажные цены, Нетто продаж и сумма Роялти, которая подлежит уплате. Отчет направляется Лицензиару по правилам разд. 9 Договора не позднее 10-го числа календарного месяца, следующего за расчетным, в двух экземплярах: один в бумажном формате за подписью уполномоченного представителя Лицензиата, один в электронном виде на USB-накопителе в формате </w:t>
      </w:r>
      <w:proofErr w:type="spellStart"/>
      <w:r w:rsidRPr="00E3691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36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912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E36912">
        <w:rPr>
          <w:rFonts w:ascii="Times New Roman" w:hAnsi="Times New Roman" w:cs="Times New Roman"/>
          <w:sz w:val="24"/>
          <w:szCs w:val="24"/>
        </w:rPr>
        <w:t>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5.2. Лицензиар вправе по предварительному письменному запросу проверять по сводным бухгалтерским данным информацию об объеме производства Продукции Лицензиатом и объеме реализации Продукции, а Лицензиат обязан обеспечить Лицензиару доступ к таким данным.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lastRenderedPageBreak/>
        <w:t>6.2. В случае нарушения сроков выплаты любого лицензионного платежа, входящего в вознаграждение Лицензиара согласно разд. 2 Договора, Лицензиар вправе потребовать с Лицензиата уплаты неустойки (пени) в размере 0,1% от суммы задолженности за каждый день просрочки.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6.3. Просрочка выплаты любого лицензионного платежа, входящего в вознаграждение Лицензиара согласно разд. 2 Договора, более чем на 30 (тридцать) календарных дней признается существенным нарушением сроков выплаты вознаграждения. В таком случае Лицензиар может отказаться в одностороннем порядке от Договора и потребовать возмещения убытков, причиненных его расторжением. Договор прекращается по истечении 30 календарных дней с момента получения Лицензиатом уведомления об отказе от Договора, если в этот срок Лицензиат не погасит задолженность.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7.1. Договор может быть изменен или расторгнут по основаниям и в порядке, установленным действующим законодательством.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7.2. Если настоящий Договор будет досрочно расторгнут из-за неисполнения или ненадлежащего исполнения Лицензиатом своих обязательств, то Лицензиат лишается права использовать Изобретение в любой форме и обязан незамедлительно возвратить Лицензиару всю техническую документацию, переданную ему согласно разд. 4 Договора.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8.1. До предъявления иска, вытекающего из Договора, Сторона, которая считает, что ее права нарушены, обязана направить другой Стороне письменную претензию.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8.2. Сторона вправе передать спор на рассмотрение суда по истечении 15 календарных дней с момента получения претензии другой Стороной.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9.1. Настоящий Договор составлен в 3 (трех) экземплярах - по одному экземпляру для каждой Стороны и один - для Роспатента. Все экземпляры имеют равную юридическую силу.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9.2. Предоставление права использовать Изобретение по настоящему Договору подлежит государственной регистрации. Обязанности по сбору и подаче на государственную регистрацию документов, а также расходы, связанные с регистрацией, возлагаются на Лицензиара. Лицензиар подает в Роспатент заявление, подписанное в одностороннем порядке. Лицензиат обязуется в разумные сроки по запросу Лицензиара предоставлять всю необходимую информацию и документацию, которые могут потребоваться для </w:t>
      </w:r>
      <w:r w:rsidRPr="00E36912">
        <w:rPr>
          <w:rFonts w:ascii="Times New Roman" w:hAnsi="Times New Roman" w:cs="Times New Roman"/>
          <w:sz w:val="24"/>
          <w:szCs w:val="24"/>
        </w:rPr>
        <w:lastRenderedPageBreak/>
        <w:t>регистрации предоставления права использования Изобретения, Лицензиару или в Роспатент.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9.3. Если Лицензиар примет решение прекратить поддержание патента на Изобретение в силе, он обязуется заблаговременно уведомить об этом Лицензиата, и Стороны заключат дополнительное соглашение к договору для урегулирования всех вопросов, связанных с исполнением Договора.</w:t>
      </w:r>
    </w:p>
    <w:p w:rsidR="007F2675" w:rsidRDefault="00631C72" w:rsidP="00D67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9.4.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Договоре в разделе </w:t>
      </w:r>
      <w:r w:rsidR="004B03D1">
        <w:rPr>
          <w:rFonts w:ascii="Times New Roman" w:hAnsi="Times New Roman" w:cs="Times New Roman"/>
          <w:sz w:val="24"/>
          <w:szCs w:val="24"/>
        </w:rPr>
        <w:t>«</w:t>
      </w:r>
      <w:r w:rsidRPr="00E36912">
        <w:rPr>
          <w:rFonts w:ascii="Times New Roman" w:hAnsi="Times New Roman" w:cs="Times New Roman"/>
          <w:sz w:val="24"/>
          <w:szCs w:val="24"/>
        </w:rPr>
        <w:t>Адреса и реквизиты Сторон</w:t>
      </w:r>
      <w:r w:rsidR="004B03D1">
        <w:rPr>
          <w:rFonts w:ascii="Times New Roman" w:hAnsi="Times New Roman" w:cs="Times New Roman"/>
          <w:sz w:val="24"/>
          <w:szCs w:val="24"/>
        </w:rPr>
        <w:t>»</w:t>
      </w:r>
      <w:r w:rsidRPr="00E36912">
        <w:rPr>
          <w:rFonts w:ascii="Times New Roman" w:hAnsi="Times New Roman" w:cs="Times New Roman"/>
          <w:sz w:val="24"/>
          <w:szCs w:val="24"/>
        </w:rPr>
        <w:t xml:space="preserve">, </w:t>
      </w:r>
      <w:r w:rsidRPr="007F2675">
        <w:rPr>
          <w:rFonts w:ascii="Times New Roman" w:hAnsi="Times New Roman" w:cs="Times New Roman"/>
          <w:sz w:val="24"/>
          <w:szCs w:val="24"/>
        </w:rPr>
        <w:t>только одним из следующих способов:</w:t>
      </w:r>
    </w:p>
    <w:p w:rsidR="007F2675" w:rsidRDefault="00D6736A" w:rsidP="007F2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75">
        <w:rPr>
          <w:rFonts w:ascii="Times New Roman" w:hAnsi="Times New Roman" w:cs="Times New Roman"/>
          <w:sz w:val="24"/>
          <w:szCs w:val="24"/>
        </w:rPr>
        <w:t>курьером.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 и подпись лица, получившего данный документ;</w:t>
      </w:r>
    </w:p>
    <w:p w:rsidR="00D6736A" w:rsidRPr="007F2675" w:rsidRDefault="00D6736A" w:rsidP="007F26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2675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</w:t>
      </w:r>
      <w:r w:rsidRPr="007F2675">
        <w:rPr>
          <w:rFonts w:ascii="Times New Roman" w:hAnsi="Times New Roman" w:cs="Times New Roman"/>
          <w:i/>
          <w:sz w:val="24"/>
          <w:szCs w:val="24"/>
        </w:rPr>
        <w:t>.</w:t>
      </w:r>
    </w:p>
    <w:p w:rsidR="00631C72" w:rsidRPr="00E36912" w:rsidRDefault="00631C72" w:rsidP="00D67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9.5.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631C72" w:rsidRPr="00E36912" w:rsidRDefault="00631C72" w:rsidP="004B03D1">
      <w:pPr>
        <w:jc w:val="both"/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>9.6. Сообщение считается доставленным и в случае, если оно поступило лицу, которому оно направлено, но по обстоятельствам, зависящим от него, не было ему вручено или адресат не ознакомился с ним.</w:t>
      </w:r>
    </w:p>
    <w:p w:rsidR="00631C72" w:rsidRPr="00E36912" w:rsidRDefault="00631C72" w:rsidP="00631C72">
      <w:pPr>
        <w:rPr>
          <w:rFonts w:ascii="Times New Roman" w:hAnsi="Times New Roman" w:cs="Times New Roman"/>
          <w:sz w:val="24"/>
          <w:szCs w:val="24"/>
        </w:rPr>
      </w:pPr>
    </w:p>
    <w:p w:rsidR="00631C72" w:rsidRPr="00E36912" w:rsidRDefault="00631C72" w:rsidP="00631C72">
      <w:pPr>
        <w:rPr>
          <w:rFonts w:ascii="Times New Roman" w:hAnsi="Times New Roman" w:cs="Times New Roman"/>
          <w:sz w:val="24"/>
          <w:szCs w:val="24"/>
        </w:rPr>
      </w:pPr>
      <w:r w:rsidRPr="00E36912">
        <w:rPr>
          <w:rFonts w:ascii="Times New Roman" w:hAnsi="Times New Roman" w:cs="Times New Roman"/>
          <w:sz w:val="24"/>
          <w:szCs w:val="24"/>
        </w:rPr>
        <w:t xml:space="preserve">Приложение: Копия патента РФ </w:t>
      </w:r>
      <w:r w:rsidR="004B03D1">
        <w:rPr>
          <w:rFonts w:ascii="Times New Roman" w:hAnsi="Times New Roman" w:cs="Times New Roman"/>
          <w:sz w:val="24"/>
          <w:szCs w:val="24"/>
        </w:rPr>
        <w:t>№</w:t>
      </w:r>
      <w:r w:rsidR="004B03D1" w:rsidRPr="00E36912">
        <w:rPr>
          <w:rFonts w:ascii="Times New Roman" w:hAnsi="Times New Roman" w:cs="Times New Roman"/>
          <w:sz w:val="24"/>
          <w:szCs w:val="24"/>
        </w:rPr>
        <w:t>2</w:t>
      </w:r>
      <w:r w:rsidR="004B03D1">
        <w:rPr>
          <w:rFonts w:ascii="Times New Roman" w:hAnsi="Times New Roman" w:cs="Times New Roman"/>
          <w:sz w:val="24"/>
          <w:szCs w:val="24"/>
        </w:rPr>
        <w:t>76</w:t>
      </w:r>
      <w:r w:rsidR="004B03D1" w:rsidRPr="00E36912">
        <w:rPr>
          <w:rFonts w:ascii="Times New Roman" w:hAnsi="Times New Roman" w:cs="Times New Roman"/>
          <w:sz w:val="24"/>
          <w:szCs w:val="24"/>
        </w:rPr>
        <w:t>14</w:t>
      </w:r>
      <w:r w:rsidR="004B03D1">
        <w:rPr>
          <w:rFonts w:ascii="Times New Roman" w:hAnsi="Times New Roman" w:cs="Times New Roman"/>
          <w:sz w:val="24"/>
          <w:szCs w:val="24"/>
        </w:rPr>
        <w:t>01</w:t>
      </w:r>
      <w:r w:rsidRPr="00E36912">
        <w:rPr>
          <w:rFonts w:ascii="Times New Roman" w:hAnsi="Times New Roman" w:cs="Times New Roman"/>
          <w:sz w:val="24"/>
          <w:szCs w:val="24"/>
        </w:rPr>
        <w:t>.</w:t>
      </w:r>
    </w:p>
    <w:p w:rsidR="00631C72" w:rsidRPr="00631C72" w:rsidRDefault="00631C72" w:rsidP="00631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C72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Сторон:</w:t>
      </w:r>
    </w:p>
    <w:p w:rsidR="00631C72" w:rsidRPr="00631C72" w:rsidRDefault="00631C72" w:rsidP="00631C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40"/>
        <w:gridCol w:w="623"/>
        <w:gridCol w:w="1757"/>
        <w:gridCol w:w="340"/>
        <w:gridCol w:w="2324"/>
      </w:tblGrid>
      <w:tr w:rsidR="00631C72" w:rsidRPr="00631C72" w:rsidTr="009C5CDC"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Лицензиар: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Лицензиат:</w:t>
            </w:r>
          </w:p>
        </w:tc>
      </w:tr>
      <w:tr w:rsidR="00631C72" w:rsidRPr="00631C72" w:rsidTr="009C5CDC"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«Приз»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Адрес: 117418, г. </w:t>
            </w:r>
            <w:proofErr w:type="spellStart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Энск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, корп.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Телефон: (123) 1234567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B0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podarok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ОГРН 1234567891234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ИНН 2234567891 КПП 223456789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Р/с 40702810190388912345 в ПАО Сбербанк, г. Москва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C72" w:rsidRPr="00631C72" w:rsidRDefault="004B03D1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«Аспект»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Адрес: 111024, г. </w:t>
            </w:r>
            <w:proofErr w:type="spellStart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Энск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, ш. </w:t>
            </w:r>
            <w:proofErr w:type="spellStart"/>
            <w:r w:rsidR="004B03D1">
              <w:rPr>
                <w:rFonts w:ascii="Times New Roman" w:hAnsi="Times New Roman" w:cs="Times New Roman"/>
                <w:sz w:val="24"/>
                <w:szCs w:val="24"/>
              </w:rPr>
              <w:t>Рязановское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(123)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9876543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B0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aspekt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ОГРН 2234578911234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ИНН 2212345678 КПП 221234567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Р/с 10203840596378819345 в ПАО Сбербанк, г. Москва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К/с 10203840500000000225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БИК 011223345</w:t>
            </w:r>
          </w:p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C72" w:rsidRPr="00631C72" w:rsidRDefault="004B03D1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31C72" w:rsidRPr="00631C72" w:rsidTr="009C5CDC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4B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/М.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03D1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4B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B03D1">
              <w:rPr>
                <w:rFonts w:ascii="Times New Roman" w:hAnsi="Times New Roman" w:cs="Times New Roman"/>
                <w:sz w:val="24"/>
                <w:szCs w:val="24"/>
              </w:rPr>
              <w:t>А.С.Просиков</w:t>
            </w:r>
            <w:proofErr w:type="spellEnd"/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31C72" w:rsidRPr="00631C72" w:rsidTr="009C5CDC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C72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31C72" w:rsidRPr="00631C72" w:rsidRDefault="00631C72" w:rsidP="009C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A2C" w:rsidRPr="00E36912" w:rsidRDefault="00352A2C" w:rsidP="00631C72">
      <w:pPr>
        <w:rPr>
          <w:rFonts w:ascii="Times New Roman" w:hAnsi="Times New Roman" w:cs="Times New Roman"/>
          <w:sz w:val="24"/>
          <w:szCs w:val="24"/>
        </w:rPr>
      </w:pPr>
    </w:p>
    <w:sectPr w:rsidR="00352A2C" w:rsidRPr="00E3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3CB"/>
    <w:multiLevelType w:val="hybridMultilevel"/>
    <w:tmpl w:val="4096268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3E9B10C9"/>
    <w:multiLevelType w:val="hybridMultilevel"/>
    <w:tmpl w:val="315E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CD"/>
    <w:rsid w:val="00013FFA"/>
    <w:rsid w:val="00031D0B"/>
    <w:rsid w:val="00095C97"/>
    <w:rsid w:val="000C7194"/>
    <w:rsid w:val="000F66E6"/>
    <w:rsid w:val="00352A2C"/>
    <w:rsid w:val="003569E1"/>
    <w:rsid w:val="004B03D1"/>
    <w:rsid w:val="004C5C5B"/>
    <w:rsid w:val="005455BD"/>
    <w:rsid w:val="005A3F8E"/>
    <w:rsid w:val="005A3F98"/>
    <w:rsid w:val="00631C72"/>
    <w:rsid w:val="0078478B"/>
    <w:rsid w:val="007A122B"/>
    <w:rsid w:val="007F2675"/>
    <w:rsid w:val="00A35ACD"/>
    <w:rsid w:val="00A55127"/>
    <w:rsid w:val="00B7233C"/>
    <w:rsid w:val="00BC6C4E"/>
    <w:rsid w:val="00CF2265"/>
    <w:rsid w:val="00D6736A"/>
    <w:rsid w:val="00E36912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2023-10-06T07:33:00Z</dcterms:created>
  <dcterms:modified xsi:type="dcterms:W3CDTF">2023-10-06T07:33:00Z</dcterms:modified>
</cp:coreProperties>
</file>