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В ____________</w:t>
      </w:r>
    </w:p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от ____________</w:t>
      </w:r>
    </w:p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ИНН ____________</w:t>
      </w:r>
    </w:p>
    <w:p w:rsidR="00711472" w:rsidRPr="00711472" w:rsidRDefault="00711472" w:rsidP="00711472">
      <w:pPr>
        <w:spacing w:before="300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Исх. № ____________ от «___» ___________ 20 __ г.</w:t>
      </w:r>
    </w:p>
    <w:p w:rsidR="00711472" w:rsidRPr="00711472" w:rsidRDefault="00711472" w:rsidP="00711472">
      <w:pPr>
        <w:spacing w:before="300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На требование № ______ от «___» ___________ 20 __ г.</w:t>
      </w: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Пояснение о причинах расхождения 6-НДФЛ и РСВ.</w:t>
      </w: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ООО "</w:t>
      </w:r>
      <w:r>
        <w:rPr>
          <w:rFonts w:ascii="Arial" w:hAnsi="Arial" w:cs="Arial"/>
          <w:color w:val="000000" w:themeColor="text1"/>
          <w:sz w:val="20"/>
          <w:szCs w:val="20"/>
        </w:rPr>
        <w:t>Карусель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" получило требование N 3446251856 от 06.07.2023 представить пояснения о причинах расхождений выплат в пользу сотрудников по данным расчета </w:t>
      </w:r>
      <w:hyperlink r:id="rId5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за полугодие 202</w:t>
      </w:r>
      <w:r w:rsidR="009F087E">
        <w:rPr>
          <w:rFonts w:ascii="Arial" w:hAnsi="Arial" w:cs="Arial"/>
          <w:color w:val="000000" w:themeColor="text1"/>
          <w:sz w:val="20"/>
          <w:szCs w:val="20"/>
        </w:rPr>
        <w:t>5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года с данными </w:t>
      </w:r>
      <w:hyperlink r:id="rId6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расчета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страховых взносов за полугодие 202</w:t>
      </w:r>
      <w:r w:rsidR="009F087E">
        <w:rPr>
          <w:rFonts w:ascii="Arial" w:hAnsi="Arial" w:cs="Arial"/>
          <w:color w:val="000000" w:themeColor="text1"/>
          <w:sz w:val="20"/>
          <w:szCs w:val="20"/>
        </w:rPr>
        <w:t>5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года. В ответ на требование сообщаем, что расхождение в доходах возникло в связи с договорами дарения сотрудникам.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Доходы по договору дарения не входят в объект обложения по страховым взносам на основании </w:t>
      </w:r>
      <w:hyperlink r:id="rId7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п. 4 ст. 420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НК РФ, соответственно, их не отражают в РСВ.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</w:t>
      </w:r>
      <w:hyperlink r:id="rId8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п. 28 ст. 217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НК РФ не подлежат налогообложению суммы материальной помощи, оказываемой работодателями своим работникам, не превышающие 4 000 рублей, за налоговый период.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НДФЛ с доходов, которые превысили 4 000 руб., в общей сумме 53 000 руб</w:t>
      </w:r>
      <w:bookmarkStart w:id="0" w:name="_GoBack"/>
      <w:bookmarkEnd w:id="0"/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лей удержали. Облагаемые доходы отразили в </w:t>
      </w:r>
      <w:hyperlink r:id="rId9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Выплаты по договорам дарения за полугодие 202</w:t>
      </w:r>
      <w:r w:rsidR="009F087E">
        <w:rPr>
          <w:rFonts w:ascii="Arial" w:hAnsi="Arial" w:cs="Arial"/>
          <w:color w:val="000000" w:themeColor="text1"/>
          <w:sz w:val="20"/>
          <w:szCs w:val="20"/>
        </w:rPr>
        <w:t>5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года составили: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- 25 000 руб. - А.А. Иванову;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- 10 000 руб. - П.А. Петрову;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- 30 000 руб. - Е.В. Ивановой.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Итого выплатили по договорам дарения 65 000 руб. Облагаемые НДФЛ доходы по договорам дарения 53 000 руб. (65 000 руб. - 4 000 руб. x 3 чел.).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Приложение: копии договоров дарения между ООО "</w:t>
      </w:r>
      <w:r>
        <w:rPr>
          <w:rFonts w:ascii="Arial" w:hAnsi="Arial" w:cs="Arial"/>
          <w:color w:val="000000" w:themeColor="text1"/>
          <w:sz w:val="20"/>
          <w:szCs w:val="20"/>
        </w:rPr>
        <w:t>Карусель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>" и сотрудниками в количестве 3 (три) экземпляра.</w:t>
      </w:r>
    </w:p>
    <w:p w:rsidR="00AD0B0B" w:rsidRPr="00711472" w:rsidRDefault="009F087E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AD0B0B" w:rsidRPr="00711472" w:rsidSect="005C0E3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14"/>
    <w:rsid w:val="000D3931"/>
    <w:rsid w:val="00711472"/>
    <w:rsid w:val="009F087E"/>
    <w:rsid w:val="00A33914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19&amp;dst=15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019&amp;dst=152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070&amp;dst=1000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30182&amp;dst=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0182&amp;dst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2025-05-30T14:59:00Z</dcterms:created>
  <dcterms:modified xsi:type="dcterms:W3CDTF">2025-05-30T14:59:00Z</dcterms:modified>
</cp:coreProperties>
</file>