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9FF4" w14:textId="77777777" w:rsidR="008534E2" w:rsidRPr="00A14190" w:rsidRDefault="008534E2" w:rsidP="008534E2">
      <w:pPr>
        <w:jc w:val="center"/>
        <w:rPr>
          <w:rFonts w:cstheme="minorHAnsi"/>
          <w:b/>
          <w:bCs/>
          <w:sz w:val="28"/>
          <w:szCs w:val="28"/>
        </w:rPr>
      </w:pPr>
      <w:r w:rsidRPr="00A14190">
        <w:rPr>
          <w:rFonts w:cstheme="minorHAnsi"/>
          <w:b/>
          <w:bCs/>
          <w:sz w:val="28"/>
          <w:szCs w:val="28"/>
        </w:rPr>
        <w:t>Общество с ограниченной ответственностью ООО «Успех»</w:t>
      </w:r>
    </w:p>
    <w:p w14:paraId="4F902F47" w14:textId="77777777" w:rsidR="008534E2" w:rsidRPr="00A14190" w:rsidRDefault="008534E2" w:rsidP="008534E2">
      <w:pPr>
        <w:jc w:val="center"/>
        <w:rPr>
          <w:rFonts w:cstheme="minorHAnsi"/>
          <w:b/>
          <w:bCs/>
          <w:sz w:val="28"/>
          <w:szCs w:val="28"/>
        </w:rPr>
      </w:pPr>
      <w:r w:rsidRPr="00A14190">
        <w:rPr>
          <w:rFonts w:cstheme="minorHAnsi"/>
          <w:b/>
          <w:bCs/>
          <w:sz w:val="28"/>
          <w:szCs w:val="28"/>
        </w:rPr>
        <w:t>(ООО "Успех")</w:t>
      </w:r>
    </w:p>
    <w:p w14:paraId="69729640" w14:textId="4D7F236B" w:rsidR="008534E2" w:rsidRPr="00A14190" w:rsidRDefault="008534E2" w:rsidP="00A14190">
      <w:pPr>
        <w:jc w:val="center"/>
        <w:rPr>
          <w:rFonts w:cstheme="minorHAnsi"/>
          <w:i/>
          <w:iCs/>
        </w:rPr>
      </w:pPr>
      <w:r w:rsidRPr="00A14190">
        <w:rPr>
          <w:rFonts w:cstheme="minorHAnsi"/>
          <w:i/>
          <w:iCs/>
        </w:rPr>
        <w:t>ИНН 1234567891, КПП 123456789, ОГРН 1234567891012</w:t>
      </w:r>
      <w:r w:rsidR="00A14190" w:rsidRPr="00A14190">
        <w:rPr>
          <w:rFonts w:cstheme="minorHAnsi"/>
          <w:i/>
          <w:iCs/>
        </w:rPr>
        <w:t xml:space="preserve">, юр. адрес: </w:t>
      </w:r>
      <w:r w:rsidRPr="00A14190">
        <w:rPr>
          <w:rFonts w:cstheme="minorHAnsi"/>
          <w:i/>
          <w:iCs/>
        </w:rPr>
        <w:t>123456, г. Москва, ул. Ленина, д. 3</w:t>
      </w:r>
    </w:p>
    <w:p w14:paraId="6BFAFED2" w14:textId="77777777" w:rsidR="008534E2" w:rsidRPr="00A14190" w:rsidRDefault="008534E2" w:rsidP="008534E2">
      <w:pPr>
        <w:rPr>
          <w:rFonts w:cstheme="minorHAnsi"/>
          <w:b/>
          <w:bCs/>
        </w:rPr>
      </w:pPr>
    </w:p>
    <w:p w14:paraId="170EBBDF" w14:textId="77777777" w:rsidR="008534E2" w:rsidRPr="00A14190" w:rsidRDefault="008534E2" w:rsidP="008534E2">
      <w:pPr>
        <w:jc w:val="center"/>
        <w:rPr>
          <w:rFonts w:cstheme="minorHAnsi"/>
          <w:sz w:val="32"/>
          <w:szCs w:val="32"/>
        </w:rPr>
      </w:pPr>
      <w:r w:rsidRPr="00A14190">
        <w:rPr>
          <w:rFonts w:cstheme="minorHAnsi"/>
          <w:b/>
          <w:bCs/>
          <w:sz w:val="32"/>
          <w:szCs w:val="32"/>
        </w:rPr>
        <w:t xml:space="preserve">Пояснения к бухгалтерскому балансу на </w:t>
      </w:r>
      <w:r w:rsidRPr="00A14190">
        <w:rPr>
          <w:rFonts w:cstheme="minorHAnsi"/>
          <w:b/>
          <w:sz w:val="32"/>
          <w:szCs w:val="32"/>
        </w:rPr>
        <w:t>31.12.2025</w:t>
      </w:r>
      <w:r w:rsidRPr="00A14190">
        <w:rPr>
          <w:rFonts w:cstheme="minorHAnsi"/>
          <w:b/>
          <w:bCs/>
          <w:sz w:val="32"/>
          <w:szCs w:val="32"/>
        </w:rPr>
        <w:t> и отчету о финансовых результатах за 2025 год</w:t>
      </w:r>
    </w:p>
    <w:p w14:paraId="51313BE8" w14:textId="77777777" w:rsidR="004C7068" w:rsidRPr="00A14190" w:rsidRDefault="004C7068">
      <w:pPr>
        <w:pStyle w:val="ConsPlusNormal"/>
        <w:jc w:val="both"/>
        <w:rPr>
          <w:rFonts w:asciiTheme="minorHAnsi" w:hAnsiTheme="minorHAnsi" w:cstheme="minorHAnsi"/>
        </w:rPr>
      </w:pPr>
    </w:p>
    <w:p w14:paraId="68D40301" w14:textId="77777777" w:rsidR="004C7068" w:rsidRPr="00A14190" w:rsidRDefault="004C7068">
      <w:pPr>
        <w:pStyle w:val="ConsPlusNormal"/>
        <w:jc w:val="both"/>
      </w:pPr>
      <w:r w:rsidRPr="00A14190">
        <w:rPr>
          <w:b/>
        </w:rPr>
        <w:t>Единица измерения: тыс. руб.</w:t>
      </w:r>
    </w:p>
    <w:p w14:paraId="28842165" w14:textId="77777777" w:rsidR="004C7068" w:rsidRPr="00A14190" w:rsidRDefault="004C7068">
      <w:pPr>
        <w:pStyle w:val="ConsPlusNormal"/>
        <w:jc w:val="both"/>
      </w:pPr>
    </w:p>
    <w:p w14:paraId="7001E5F9" w14:textId="51A1006C" w:rsidR="004C7068" w:rsidRPr="00A14190" w:rsidRDefault="004C7068" w:rsidP="00A14190">
      <w:pPr>
        <w:pStyle w:val="ConsPlusNormal"/>
        <w:jc w:val="both"/>
      </w:pPr>
      <w:r w:rsidRPr="00A14190">
        <w:t>1. Основные виды деятельности по ОКВЭД</w:t>
      </w:r>
      <w:r w:rsidR="00A14190" w:rsidRPr="00A14190">
        <w:t xml:space="preserve"> -</w:t>
      </w:r>
      <w:r w:rsidRPr="00A14190">
        <w:t xml:space="preserve"> </w:t>
      </w:r>
      <w:r w:rsidR="00A14190" w:rsidRPr="00A14190">
        <w:t>47.54</w:t>
      </w:r>
      <w:r w:rsidR="00A14190" w:rsidRPr="00A14190">
        <w:t xml:space="preserve"> «Т</w:t>
      </w:r>
      <w:r w:rsidR="00A14190" w:rsidRPr="00A14190">
        <w:t>орговля розничная бытовыми электротоварами в специализированных магазинах</w:t>
      </w:r>
      <w:r w:rsidR="00A14190" w:rsidRPr="00A14190">
        <w:t>»</w:t>
      </w:r>
    </w:p>
    <w:p w14:paraId="13E069D6" w14:textId="77777777" w:rsidR="004C7068" w:rsidRPr="00A14190" w:rsidRDefault="004C7068">
      <w:pPr>
        <w:pStyle w:val="ConsPlusNormal"/>
        <w:spacing w:before="220"/>
        <w:jc w:val="both"/>
        <w:rPr>
          <w:bCs/>
        </w:rPr>
      </w:pPr>
      <w:r w:rsidRPr="00A14190">
        <w:rPr>
          <w:bCs/>
        </w:rPr>
        <w:t>2. Информация об учетной политике</w:t>
      </w:r>
    </w:p>
    <w:p w14:paraId="2348EB45" w14:textId="77777777" w:rsidR="004C7068" w:rsidRPr="00A14190" w:rsidRDefault="004C7068">
      <w:pPr>
        <w:pStyle w:val="ConsPlusNormal"/>
        <w:jc w:val="both"/>
      </w:pPr>
    </w:p>
    <w:p w14:paraId="3F767635" w14:textId="77777777" w:rsidR="004C7068" w:rsidRPr="00A14190" w:rsidRDefault="004C7068">
      <w:pPr>
        <w:pStyle w:val="ConsPlusNormal"/>
        <w:jc w:val="center"/>
      </w:pPr>
      <w:r w:rsidRPr="00A14190">
        <w:t>2.1. Неиспользуемые стандарты</w:t>
      </w:r>
    </w:p>
    <w:p w14:paraId="3EA19550" w14:textId="77777777" w:rsidR="004C7068" w:rsidRPr="00A14190" w:rsidRDefault="004C7068">
      <w:pPr>
        <w:pStyle w:val="ConsPlusNormal"/>
        <w:jc w:val="both"/>
      </w:pPr>
    </w:p>
    <w:p w14:paraId="57E9F188" w14:textId="77777777" w:rsidR="004C7068" w:rsidRPr="00A14190" w:rsidRDefault="004C7068">
      <w:pPr>
        <w:pStyle w:val="ConsPlusNormal"/>
        <w:jc w:val="both"/>
      </w:pPr>
      <w:r w:rsidRPr="00A14190">
        <w:t>Организация вправе применять упрощенные способы ведения бухгалтерского учета, включая бухгалтерскую отчетность, на основании чего не применяет следующие Положения по бухгалтерскому учету:</w:t>
      </w:r>
    </w:p>
    <w:p w14:paraId="0891F949" w14:textId="212B44F8" w:rsidR="008534E2" w:rsidRPr="00A14190" w:rsidRDefault="008534E2" w:rsidP="008534E2">
      <w:pPr>
        <w:widowControl w:val="0"/>
        <w:numPr>
          <w:ilvl w:val="0"/>
          <w:numId w:val="6"/>
        </w:numPr>
        <w:tabs>
          <w:tab w:val="left" w:pos="540"/>
        </w:tabs>
        <w:autoSpaceDE w:val="0"/>
        <w:autoSpaceDN w:val="0"/>
        <w:adjustRightInd w:val="0"/>
        <w:spacing w:after="0" w:line="240" w:lineRule="auto"/>
        <w:jc w:val="both"/>
      </w:pPr>
      <w:r w:rsidRPr="00A14190">
        <w:t>ПБУ 2/2008 "Учет договоров строительного подряда";</w:t>
      </w:r>
    </w:p>
    <w:p w14:paraId="6315238F" w14:textId="1CA4052C" w:rsidR="008534E2" w:rsidRPr="00A14190" w:rsidRDefault="008534E2" w:rsidP="008534E2">
      <w:pPr>
        <w:widowControl w:val="0"/>
        <w:numPr>
          <w:ilvl w:val="0"/>
          <w:numId w:val="6"/>
        </w:numPr>
        <w:tabs>
          <w:tab w:val="left" w:pos="540"/>
        </w:tabs>
        <w:autoSpaceDE w:val="0"/>
        <w:autoSpaceDN w:val="0"/>
        <w:adjustRightInd w:val="0"/>
        <w:spacing w:after="0" w:line="240" w:lineRule="auto"/>
        <w:jc w:val="both"/>
      </w:pPr>
      <w:r w:rsidRPr="00A14190">
        <w:t>ПБУ 8/2010 "Оценочные обязательства, условные обязательства и условные активы";</w:t>
      </w:r>
    </w:p>
    <w:p w14:paraId="3D020E13" w14:textId="2AD8BD5E" w:rsidR="008534E2" w:rsidRPr="00A14190" w:rsidRDefault="008534E2" w:rsidP="008534E2">
      <w:pPr>
        <w:widowControl w:val="0"/>
        <w:numPr>
          <w:ilvl w:val="0"/>
          <w:numId w:val="6"/>
        </w:numPr>
        <w:tabs>
          <w:tab w:val="left" w:pos="540"/>
        </w:tabs>
        <w:autoSpaceDE w:val="0"/>
        <w:autoSpaceDN w:val="0"/>
        <w:adjustRightInd w:val="0"/>
        <w:spacing w:after="0" w:line="240" w:lineRule="auto"/>
        <w:jc w:val="both"/>
      </w:pPr>
      <w:r w:rsidRPr="00A14190">
        <w:t>ПБУ 11/2008 "Информация о связанных сторонах";</w:t>
      </w:r>
    </w:p>
    <w:p w14:paraId="12E2C2AD" w14:textId="39DE9354" w:rsidR="008534E2" w:rsidRPr="00A14190" w:rsidRDefault="008534E2" w:rsidP="008534E2">
      <w:pPr>
        <w:widowControl w:val="0"/>
        <w:numPr>
          <w:ilvl w:val="0"/>
          <w:numId w:val="6"/>
        </w:numPr>
        <w:tabs>
          <w:tab w:val="left" w:pos="540"/>
        </w:tabs>
        <w:autoSpaceDE w:val="0"/>
        <w:autoSpaceDN w:val="0"/>
        <w:adjustRightInd w:val="0"/>
        <w:spacing w:after="0" w:line="240" w:lineRule="auto"/>
        <w:jc w:val="both"/>
      </w:pPr>
      <w:r w:rsidRPr="00A14190">
        <w:t>ПБУ 16/02 "Информация по прекращаемой деятельности";</w:t>
      </w:r>
    </w:p>
    <w:p w14:paraId="20531D2C" w14:textId="25F71B00" w:rsidR="008534E2" w:rsidRPr="00A14190" w:rsidRDefault="008534E2" w:rsidP="008534E2">
      <w:pPr>
        <w:widowControl w:val="0"/>
        <w:numPr>
          <w:ilvl w:val="0"/>
          <w:numId w:val="6"/>
        </w:numPr>
        <w:tabs>
          <w:tab w:val="left" w:pos="540"/>
        </w:tabs>
        <w:autoSpaceDE w:val="0"/>
        <w:autoSpaceDN w:val="0"/>
        <w:adjustRightInd w:val="0"/>
        <w:spacing w:after="0" w:line="240" w:lineRule="auto"/>
        <w:jc w:val="both"/>
      </w:pPr>
      <w:r w:rsidRPr="00A14190">
        <w:t>ПБУ 18/02 "Учет расчетов по налогу на прибыль организаций".</w:t>
      </w:r>
    </w:p>
    <w:p w14:paraId="611C4F94" w14:textId="77777777" w:rsidR="004C7068" w:rsidRPr="00A14190" w:rsidRDefault="004C7068">
      <w:pPr>
        <w:pStyle w:val="ConsPlusNormal"/>
        <w:jc w:val="both"/>
      </w:pPr>
    </w:p>
    <w:p w14:paraId="1625D1E9" w14:textId="77777777" w:rsidR="004C7068" w:rsidRPr="00A14190" w:rsidRDefault="004C7068">
      <w:pPr>
        <w:pStyle w:val="ConsPlusNormal"/>
        <w:jc w:val="center"/>
      </w:pPr>
      <w:r w:rsidRPr="00A14190">
        <w:t>2.2. Исправление ошибок и изменение учетной политики</w:t>
      </w:r>
    </w:p>
    <w:p w14:paraId="43F295C3" w14:textId="77777777" w:rsidR="004C7068" w:rsidRPr="00A14190" w:rsidRDefault="004C7068">
      <w:pPr>
        <w:pStyle w:val="ConsPlusNormal"/>
        <w:jc w:val="both"/>
      </w:pPr>
    </w:p>
    <w:p w14:paraId="4C682392" w14:textId="77777777" w:rsidR="004C7068" w:rsidRPr="00A14190" w:rsidRDefault="004C7068">
      <w:pPr>
        <w:pStyle w:val="ConsPlusNormal"/>
        <w:jc w:val="both"/>
      </w:pPr>
      <w:r w:rsidRPr="00A14190">
        <w:t>2.2.1. Организация, являясь СМП, который вправе применять упрощенные способы ведения бухгалтерского учета, включая бухгалтерскую отчетность, исправляет существенные ошибки предшествующего отчетного года, выявленные после утверждения бухгалтерской отчетности за этот год, без ретроспективного пересчета сравнительных показателей отчетности с включением прибыли или убытка, возникших в результате исправления указанной ошибки, в состав прочих доходов или расходов текущего отчетного периода.</w:t>
      </w:r>
    </w:p>
    <w:p w14:paraId="197BA800" w14:textId="77777777" w:rsidR="004C7068" w:rsidRPr="00A14190" w:rsidRDefault="004C7068">
      <w:pPr>
        <w:pStyle w:val="ConsPlusNormal"/>
        <w:spacing w:before="220"/>
        <w:jc w:val="both"/>
      </w:pPr>
      <w:r w:rsidRPr="00A14190">
        <w:t>2.2.2. Организация, являясь СМП, который вправе применять упрощенные способы ведения бухгалтерского учета, включая бухгалтерскую отчетность, отражает в бухгалтерской отчетности последствия изменения Учетной политики перспективно. Исключение составляют случаи, когда иной порядок установлен законодательством РФ и (или) нормативным правовым актом по бухгалтерскому учету.</w:t>
      </w:r>
    </w:p>
    <w:p w14:paraId="79DCA16A" w14:textId="77777777" w:rsidR="004C7068" w:rsidRPr="00A14190" w:rsidRDefault="004C7068">
      <w:pPr>
        <w:pStyle w:val="ConsPlusNormal"/>
        <w:jc w:val="both"/>
      </w:pPr>
    </w:p>
    <w:p w14:paraId="20296435" w14:textId="77777777" w:rsidR="004C7068" w:rsidRPr="00A14190" w:rsidRDefault="004C7068">
      <w:pPr>
        <w:pStyle w:val="ConsPlusNormal"/>
        <w:jc w:val="center"/>
      </w:pPr>
      <w:r w:rsidRPr="00A14190">
        <w:t>2.3. Учет основных средств и капитальных вложений в них</w:t>
      </w:r>
    </w:p>
    <w:p w14:paraId="6EF6131A" w14:textId="77777777" w:rsidR="004C7068" w:rsidRPr="00A14190" w:rsidRDefault="004C7068">
      <w:pPr>
        <w:pStyle w:val="ConsPlusNormal"/>
        <w:jc w:val="both"/>
      </w:pPr>
    </w:p>
    <w:p w14:paraId="7147C214" w14:textId="77777777" w:rsidR="004C7068" w:rsidRPr="00A14190" w:rsidRDefault="004C7068">
      <w:pPr>
        <w:pStyle w:val="ConsPlusNormal"/>
        <w:jc w:val="both"/>
      </w:pPr>
      <w:r w:rsidRPr="00A14190">
        <w:t>2.3.1. Капитальные вложения в основные средства оцениваются в упрощенном порядке:</w:t>
      </w:r>
    </w:p>
    <w:p w14:paraId="68ED805C" w14:textId="77777777" w:rsidR="004C7068" w:rsidRPr="00A14190" w:rsidRDefault="004C7068">
      <w:pPr>
        <w:pStyle w:val="ConsPlusNormal"/>
        <w:numPr>
          <w:ilvl w:val="0"/>
          <w:numId w:val="3"/>
        </w:numPr>
        <w:spacing w:before="220"/>
        <w:jc w:val="both"/>
      </w:pPr>
      <w:r w:rsidRPr="00A14190">
        <w:t>без включения процентов, связанных с капвложениями;</w:t>
      </w:r>
    </w:p>
    <w:p w14:paraId="7A623670" w14:textId="77777777" w:rsidR="004C7068" w:rsidRPr="00A14190" w:rsidRDefault="004C7068">
      <w:pPr>
        <w:pStyle w:val="ConsPlusNormal"/>
        <w:numPr>
          <w:ilvl w:val="0"/>
          <w:numId w:val="3"/>
        </w:numPr>
        <w:spacing w:before="220"/>
        <w:jc w:val="both"/>
      </w:pPr>
      <w:r w:rsidRPr="00A14190">
        <w:t>без учета скидок, уступок, вычетов, премий, льгот, предоставляемых поставщиком;</w:t>
      </w:r>
    </w:p>
    <w:p w14:paraId="24CF71E8" w14:textId="77777777" w:rsidR="004C7068" w:rsidRPr="00A14190" w:rsidRDefault="004C7068">
      <w:pPr>
        <w:pStyle w:val="ConsPlusNormal"/>
        <w:numPr>
          <w:ilvl w:val="0"/>
          <w:numId w:val="3"/>
        </w:numPr>
        <w:spacing w:before="220"/>
        <w:jc w:val="both"/>
      </w:pPr>
      <w:r w:rsidRPr="00A14190">
        <w:t>без учета дисконтирования в случае длительной отсрочки (рассрочки) платежа.</w:t>
      </w:r>
    </w:p>
    <w:p w14:paraId="455197A4" w14:textId="77777777" w:rsidR="004C7068" w:rsidRPr="00A14190" w:rsidRDefault="004C7068">
      <w:pPr>
        <w:pStyle w:val="ConsPlusNormal"/>
        <w:spacing w:before="220"/>
        <w:jc w:val="both"/>
      </w:pPr>
      <w:r w:rsidRPr="00A14190">
        <w:lastRenderedPageBreak/>
        <w:t>Затраты, не включенные в сумму капвложений в ОС, признаются расходами периода, в котором они понесены.</w:t>
      </w:r>
    </w:p>
    <w:p w14:paraId="55E73FA4" w14:textId="77777777" w:rsidR="004C7068" w:rsidRPr="00A14190" w:rsidRDefault="004C7068">
      <w:pPr>
        <w:pStyle w:val="ConsPlusNormal"/>
        <w:spacing w:before="220"/>
        <w:jc w:val="both"/>
      </w:pPr>
      <w:r w:rsidRPr="00A14190">
        <w:t>2.3.2. При осуществлении капитальных вложений в ОС организация определяет фактические затраты (в части оплаты неденежными средствами) в сумме балансовой стоимости передаваемых активов, фактических затрат на выполнение работ, оказание услуг, вне зависимости от возможности определения справедливой стоимости как передаваемых, так и приобретаемых активов, работ, услуг.</w:t>
      </w:r>
    </w:p>
    <w:p w14:paraId="33DFC012" w14:textId="11D324B6" w:rsidR="004C7068" w:rsidRPr="00A14190" w:rsidRDefault="004C7068">
      <w:pPr>
        <w:pStyle w:val="ConsPlusNormal"/>
        <w:spacing w:before="220"/>
        <w:jc w:val="both"/>
      </w:pPr>
      <w:r w:rsidRPr="00A14190">
        <w:t>2.3.3. Актив, удовлетворяющий условиям п. 4 ФСБУ 6/2020, относится к объектам ОС, если его стоимость больше 100 тыс. руб.</w:t>
      </w:r>
    </w:p>
    <w:p w14:paraId="29D83108" w14:textId="77777777" w:rsidR="004C7068" w:rsidRPr="00A14190" w:rsidRDefault="004C7068">
      <w:pPr>
        <w:pStyle w:val="ConsPlusNormal"/>
        <w:spacing w:before="220"/>
        <w:jc w:val="both"/>
      </w:pPr>
      <w:r w:rsidRPr="00A14190">
        <w:t>Если его стоимость не превышает установленного лимита, то актив не признается, а затраты на приобретение, создание такого актива отражаются в составе расходов периода, в котором они понесены. Для обеспечения контроля за сохранностью указанных активов они принимаются на забалансовый учет.</w:t>
      </w:r>
    </w:p>
    <w:p w14:paraId="6F37277B" w14:textId="4C14549F" w:rsidR="004C7068" w:rsidRPr="00A14190" w:rsidRDefault="004C7068">
      <w:pPr>
        <w:pStyle w:val="ConsPlusNormal"/>
        <w:spacing w:before="220"/>
        <w:jc w:val="both"/>
        <w:rPr>
          <w:lang w:val="en-US"/>
        </w:rPr>
      </w:pPr>
      <w:r w:rsidRPr="00A14190">
        <w:t>2.3.4. Все объекты ОС после признания учитываются по первоначальной стоимости, переоценка не производится.</w:t>
      </w:r>
    </w:p>
    <w:p w14:paraId="43D2821B" w14:textId="260DFA09" w:rsidR="004C7068" w:rsidRPr="00A14190" w:rsidRDefault="004C7068">
      <w:pPr>
        <w:pStyle w:val="ConsPlusNormal"/>
        <w:spacing w:before="220"/>
        <w:jc w:val="both"/>
        <w:rPr>
          <w:lang w:val="en-US"/>
        </w:rPr>
      </w:pPr>
      <w:r w:rsidRPr="00A14190">
        <w:t>2.3.5. Организация не проверяет ОС на обесценение.</w:t>
      </w:r>
    </w:p>
    <w:p w14:paraId="7DD61514" w14:textId="77777777" w:rsidR="004C7068" w:rsidRPr="00A14190" w:rsidRDefault="004C7068">
      <w:pPr>
        <w:pStyle w:val="ConsPlusNormal"/>
        <w:spacing w:before="220"/>
        <w:jc w:val="both"/>
      </w:pPr>
      <w:r w:rsidRPr="00A14190">
        <w:t>2.3.6. Организация не проверяет капитальные вложения на обесценение.</w:t>
      </w:r>
    </w:p>
    <w:p w14:paraId="5662A1B3" w14:textId="77777777" w:rsidR="004C7068" w:rsidRPr="00A14190" w:rsidRDefault="004C7068">
      <w:pPr>
        <w:pStyle w:val="ConsPlusNormal"/>
        <w:spacing w:before="220"/>
        <w:jc w:val="both"/>
      </w:pPr>
      <w:r w:rsidRPr="00A14190">
        <w:t>2.3.7. Начисление амортизации начинается с первого числа месяца, следующего за месяцем признания объекта ОС в бухгалтерском учете, и прекращается с первого числа месяца, следующего за месяцем его списания с учета.</w:t>
      </w:r>
    </w:p>
    <w:p w14:paraId="64E4010C" w14:textId="7E5F745E" w:rsidR="004C7068" w:rsidRPr="00A14190" w:rsidRDefault="004C7068" w:rsidP="008534E2">
      <w:pPr>
        <w:pStyle w:val="ConsPlusNormal"/>
        <w:spacing w:before="220"/>
        <w:jc w:val="both"/>
        <w:rPr>
          <w:lang w:val="en-US"/>
        </w:rPr>
      </w:pPr>
      <w:r w:rsidRPr="00A14190">
        <w:t>2.3.8. По всем объектам ОС, за исключением ОС, которые не подлежат амортизации, амортизация начисляется линейным способом.</w:t>
      </w:r>
    </w:p>
    <w:p w14:paraId="36752453" w14:textId="77777777" w:rsidR="008534E2" w:rsidRPr="00A14190" w:rsidRDefault="008534E2" w:rsidP="008534E2">
      <w:pPr>
        <w:pStyle w:val="ConsPlusNormal"/>
        <w:spacing w:before="220"/>
        <w:jc w:val="both"/>
        <w:rPr>
          <w:lang w:val="en-US"/>
        </w:rPr>
      </w:pPr>
    </w:p>
    <w:p w14:paraId="1A0904C6" w14:textId="77777777" w:rsidR="004C7068" w:rsidRPr="00A14190" w:rsidRDefault="004C7068">
      <w:pPr>
        <w:pStyle w:val="ConsPlusNormal"/>
        <w:jc w:val="center"/>
      </w:pPr>
      <w:r w:rsidRPr="00A14190">
        <w:t>2.4. Учет нематериальных активов</w:t>
      </w:r>
    </w:p>
    <w:p w14:paraId="6708EA7B" w14:textId="77777777" w:rsidR="004C7068" w:rsidRPr="00A14190" w:rsidRDefault="004C7068">
      <w:pPr>
        <w:pStyle w:val="ConsPlusNormal"/>
        <w:jc w:val="both"/>
      </w:pPr>
    </w:p>
    <w:p w14:paraId="5C18669F" w14:textId="77777777" w:rsidR="004C7068" w:rsidRPr="00A14190" w:rsidRDefault="004C7068">
      <w:pPr>
        <w:pStyle w:val="ConsPlusNormal"/>
        <w:jc w:val="both"/>
      </w:pPr>
      <w:r w:rsidRPr="00A14190">
        <w:t>2.4.1. Затраты на приобретение, создание, улучшение объектов, которые подлежат принятию к бухгалтерскому учету в качестве НМА, признаются в составе расходов по обычным видам деятельности в полной сумме по мере их осуществления.</w:t>
      </w:r>
    </w:p>
    <w:p w14:paraId="550B1B15" w14:textId="77777777" w:rsidR="004C7068" w:rsidRPr="00A14190" w:rsidRDefault="004C7068">
      <w:pPr>
        <w:pStyle w:val="ConsPlusNormal"/>
        <w:jc w:val="both"/>
      </w:pPr>
    </w:p>
    <w:p w14:paraId="261ADC42" w14:textId="77777777" w:rsidR="004C7068" w:rsidRPr="00A14190" w:rsidRDefault="004C7068">
      <w:pPr>
        <w:pStyle w:val="ConsPlusNormal"/>
        <w:jc w:val="center"/>
      </w:pPr>
      <w:r w:rsidRPr="00A14190">
        <w:t>2.5. Учет запасов</w:t>
      </w:r>
    </w:p>
    <w:p w14:paraId="6F808B78" w14:textId="77777777" w:rsidR="004C7068" w:rsidRPr="00A14190" w:rsidRDefault="004C7068">
      <w:pPr>
        <w:pStyle w:val="ConsPlusNormal"/>
        <w:jc w:val="both"/>
      </w:pPr>
    </w:p>
    <w:p w14:paraId="31735CFA" w14:textId="2F0B9504" w:rsidR="004C7068" w:rsidRPr="00A14190" w:rsidRDefault="004C7068">
      <w:pPr>
        <w:pStyle w:val="ConsPlusNormal"/>
        <w:jc w:val="both"/>
      </w:pPr>
      <w:r w:rsidRPr="00A14190">
        <w:t>2.5.1. Организация принимает к бухгалтерскому учету приобретенные запасы по цене поставщика без учета скидок, вычетов, премий и льгот. При этом затраты, подлежащие включению в стоимость запасов согласно ФСБУ 5/2019 (затраты на заготовку, доставку и т.д.), включаются в состав расходов периода, в котором понесены.</w:t>
      </w:r>
    </w:p>
    <w:p w14:paraId="13E6D26F" w14:textId="77777777" w:rsidR="004C7068" w:rsidRPr="00A14190" w:rsidRDefault="004C7068">
      <w:pPr>
        <w:pStyle w:val="ConsPlusNormal"/>
        <w:spacing w:before="220"/>
        <w:jc w:val="both"/>
      </w:pPr>
      <w:r w:rsidRPr="00A14190">
        <w:t>2.5.2. При отпуске материалов в производство и ином выбытии их оценка производится организацией по средней себестоимости. Последняя определяется исходя из средней за период фактической себестоимости (взвешенная оценка), в расчет которой включаются количество и стоимость материалов на начало периода и все поступления за период. В качестве расчетного периода установлен месяц.</w:t>
      </w:r>
    </w:p>
    <w:p w14:paraId="2DBF4679" w14:textId="7DC4B4F7" w:rsidR="004C7068" w:rsidRPr="00A14190" w:rsidRDefault="004C7068">
      <w:pPr>
        <w:pStyle w:val="ConsPlusNormal"/>
        <w:spacing w:before="220"/>
        <w:jc w:val="both"/>
        <w:rPr>
          <w:lang w:val="en-US"/>
        </w:rPr>
      </w:pPr>
      <w:r w:rsidRPr="00A14190">
        <w:t>2.5.3. Резерв под обесценение запасов не создается. Организация отражает запасы в учете и отчетности на отчетную дату по фактической себестоимости.</w:t>
      </w:r>
    </w:p>
    <w:p w14:paraId="1DFF4B9A" w14:textId="77777777" w:rsidR="004C7068" w:rsidRPr="00A14190" w:rsidRDefault="004C7068">
      <w:pPr>
        <w:pStyle w:val="ConsPlusNormal"/>
        <w:jc w:val="both"/>
      </w:pPr>
    </w:p>
    <w:p w14:paraId="66041CE6" w14:textId="77777777" w:rsidR="004C7068" w:rsidRPr="00A14190" w:rsidRDefault="004C7068">
      <w:pPr>
        <w:pStyle w:val="ConsPlusNormal"/>
        <w:jc w:val="center"/>
      </w:pPr>
      <w:r w:rsidRPr="00A14190">
        <w:t>2.6. Учет финансовых вложений</w:t>
      </w:r>
    </w:p>
    <w:p w14:paraId="46D5881C" w14:textId="77777777" w:rsidR="004C7068" w:rsidRPr="00A14190" w:rsidRDefault="004C7068">
      <w:pPr>
        <w:pStyle w:val="ConsPlusNormal"/>
        <w:jc w:val="both"/>
      </w:pPr>
    </w:p>
    <w:p w14:paraId="08D36AE0" w14:textId="4CBAF0C9" w:rsidR="004C7068" w:rsidRPr="00A14190" w:rsidRDefault="004C7068">
      <w:pPr>
        <w:pStyle w:val="ConsPlusNormal"/>
        <w:jc w:val="both"/>
      </w:pPr>
      <w:r w:rsidRPr="00A14190">
        <w:t>2.6.1. Последующая оценка всех финансовых вложений производится в порядке, установленном ПБУ 19/02 для финансовых вложений, по которым текущая рыночная стоимость не определяется. Переоценка финансовых вложений, по которым определяется текущая рыночная стоимость, не производится.</w:t>
      </w:r>
    </w:p>
    <w:p w14:paraId="09DC9748" w14:textId="77777777" w:rsidR="004C7068" w:rsidRPr="00A14190" w:rsidRDefault="004C7068">
      <w:pPr>
        <w:pStyle w:val="ConsPlusNormal"/>
        <w:jc w:val="both"/>
      </w:pPr>
    </w:p>
    <w:p w14:paraId="6EA46CEF" w14:textId="77777777" w:rsidR="004C7068" w:rsidRPr="00A14190" w:rsidRDefault="004C7068">
      <w:pPr>
        <w:pStyle w:val="ConsPlusNormal"/>
        <w:jc w:val="center"/>
      </w:pPr>
      <w:r w:rsidRPr="00A14190">
        <w:t>2.7. Выявление сомнительной дебиторской задолженности</w:t>
      </w:r>
    </w:p>
    <w:p w14:paraId="34F40D7A" w14:textId="77777777" w:rsidR="004C7068" w:rsidRPr="00A14190" w:rsidRDefault="004C7068">
      <w:pPr>
        <w:pStyle w:val="ConsPlusNormal"/>
        <w:jc w:val="both"/>
      </w:pPr>
    </w:p>
    <w:p w14:paraId="11B5D684" w14:textId="77777777" w:rsidR="004C7068" w:rsidRPr="00A14190" w:rsidRDefault="004C7068">
      <w:pPr>
        <w:pStyle w:val="ConsPlusNormal"/>
        <w:jc w:val="both"/>
      </w:pPr>
      <w:r w:rsidRPr="00A14190">
        <w:t>2.7.1. Проверка дебиторской задолженности на предмет необходимости создания (корректировки) резерва по сомнительным долгам осуществляется на конец каждого отчетного периода.</w:t>
      </w:r>
    </w:p>
    <w:p w14:paraId="1BF43FD9" w14:textId="77777777" w:rsidR="004C7068" w:rsidRPr="00A14190" w:rsidRDefault="004C7068">
      <w:pPr>
        <w:pStyle w:val="ConsPlusNormal"/>
        <w:spacing w:before="220"/>
        <w:jc w:val="both"/>
      </w:pPr>
      <w:r w:rsidRPr="00A14190">
        <w:t>2.7.2. При квалификации задолженности в качестве сомнительной учитываются следующие обстоятельства:</w:t>
      </w:r>
    </w:p>
    <w:p w14:paraId="04421ED5" w14:textId="77777777" w:rsidR="004C7068" w:rsidRPr="00A14190" w:rsidRDefault="004C7068">
      <w:pPr>
        <w:pStyle w:val="ConsPlusNormal"/>
        <w:numPr>
          <w:ilvl w:val="0"/>
          <w:numId w:val="4"/>
        </w:numPr>
        <w:spacing w:before="220"/>
        <w:jc w:val="both"/>
      </w:pPr>
      <w:r w:rsidRPr="00A14190">
        <w:t>нарушение должником сроков исполнения обязательства;</w:t>
      </w:r>
    </w:p>
    <w:p w14:paraId="77A5914A" w14:textId="77777777" w:rsidR="004C7068" w:rsidRPr="00A14190" w:rsidRDefault="004C7068">
      <w:pPr>
        <w:pStyle w:val="ConsPlusNormal"/>
        <w:numPr>
          <w:ilvl w:val="0"/>
          <w:numId w:val="4"/>
        </w:numPr>
        <w:spacing w:before="220"/>
        <w:jc w:val="both"/>
      </w:pPr>
      <w:r w:rsidRPr="00A14190">
        <w:t>значительные финансовые затруднения должника, ставшие известными из СМИ или других источников;</w:t>
      </w:r>
    </w:p>
    <w:p w14:paraId="25C3C1C4" w14:textId="77777777" w:rsidR="004C7068" w:rsidRPr="00A14190" w:rsidRDefault="004C7068">
      <w:pPr>
        <w:pStyle w:val="ConsPlusNormal"/>
        <w:numPr>
          <w:ilvl w:val="0"/>
          <w:numId w:val="4"/>
        </w:numPr>
        <w:spacing w:before="220"/>
        <w:jc w:val="both"/>
      </w:pPr>
      <w:r w:rsidRPr="00A14190">
        <w:t>возбуждение процедуры банкротства в отношении должника.</w:t>
      </w:r>
    </w:p>
    <w:p w14:paraId="61ED35AC" w14:textId="77777777" w:rsidR="004C7068" w:rsidRPr="00A14190" w:rsidRDefault="004C7068">
      <w:pPr>
        <w:pStyle w:val="ConsPlusNormal"/>
        <w:spacing w:before="220"/>
        <w:jc w:val="both"/>
      </w:pPr>
      <w:r w:rsidRPr="00A14190">
        <w:t>2.7.3.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441589BF" w14:textId="77777777" w:rsidR="004C7068" w:rsidRPr="00A14190" w:rsidRDefault="004C7068">
      <w:pPr>
        <w:pStyle w:val="ConsPlusNormal"/>
        <w:jc w:val="both"/>
      </w:pPr>
    </w:p>
    <w:p w14:paraId="09522A39" w14:textId="77777777" w:rsidR="004C7068" w:rsidRPr="00A14190" w:rsidRDefault="004C7068">
      <w:pPr>
        <w:pStyle w:val="ConsPlusNormal"/>
        <w:jc w:val="center"/>
      </w:pPr>
      <w:r w:rsidRPr="00A14190">
        <w:t>2.8. Учет аренды</w:t>
      </w:r>
    </w:p>
    <w:p w14:paraId="302A8B46" w14:textId="77777777" w:rsidR="004C7068" w:rsidRPr="00A14190" w:rsidRDefault="004C7068">
      <w:pPr>
        <w:pStyle w:val="ConsPlusNormal"/>
        <w:jc w:val="both"/>
      </w:pPr>
    </w:p>
    <w:p w14:paraId="6B2DC99B" w14:textId="77777777" w:rsidR="004C7068" w:rsidRPr="00A14190" w:rsidRDefault="004C7068">
      <w:pPr>
        <w:pStyle w:val="ConsPlusNormal"/>
        <w:jc w:val="both"/>
      </w:pPr>
      <w:r w:rsidRPr="00A14190">
        <w:t>2.8.1. Организация признает предмет аренды на дату получения предмета аренды в качестве права пользования активом с одновременным признанием обязательства по аренде. Право пользования активом отражается на субсчете "Права пользования активами" к счету 01 "Основные средства".</w:t>
      </w:r>
    </w:p>
    <w:p w14:paraId="3E01D29A" w14:textId="77777777" w:rsidR="004C7068" w:rsidRPr="00A14190" w:rsidRDefault="004C7068">
      <w:pPr>
        <w:pStyle w:val="ConsPlusNormal"/>
        <w:spacing w:before="220"/>
        <w:jc w:val="both"/>
      </w:pPr>
      <w:r w:rsidRPr="00A14190">
        <w:t>2.8.2. Организация использует право не признавать предмет аренды в качестве права пользования активом и обязательство по аренде. Решение об использовании этого права в отношении каждого предмета аренды, в отношении которого выполняются указанные ниже условия, закрепляется отдельным приказом руководителя.</w:t>
      </w:r>
    </w:p>
    <w:p w14:paraId="66F9408D" w14:textId="77777777" w:rsidR="004C7068" w:rsidRPr="00A14190" w:rsidRDefault="004C7068">
      <w:pPr>
        <w:pStyle w:val="ConsPlusNormal"/>
        <w:spacing w:before="220"/>
        <w:jc w:val="both"/>
      </w:pPr>
      <w:r w:rsidRPr="00A14190">
        <w:t>Право используется, если одновременно выполняются следующие условия:</w:t>
      </w:r>
    </w:p>
    <w:p w14:paraId="032E3C90" w14:textId="77777777" w:rsidR="004C7068" w:rsidRPr="00A14190" w:rsidRDefault="004C7068">
      <w:pPr>
        <w:pStyle w:val="ConsPlusNormal"/>
        <w:numPr>
          <w:ilvl w:val="0"/>
          <w:numId w:val="5"/>
        </w:numPr>
        <w:spacing w:before="220"/>
        <w:jc w:val="both"/>
      </w:pPr>
      <w:r w:rsidRPr="00A14190">
        <w:t>договором не предусмотрен переход права собственности на предмет аренды к арендатору (а также отсутствует возможность выкупа арендатором предмета аренды по цене значительно ниже его справедливой стоимости на дату выкупа);</w:t>
      </w:r>
    </w:p>
    <w:p w14:paraId="1FD623E6" w14:textId="77777777" w:rsidR="004C7068" w:rsidRPr="00A14190" w:rsidRDefault="004C7068">
      <w:pPr>
        <w:pStyle w:val="ConsPlusNormal"/>
        <w:numPr>
          <w:ilvl w:val="0"/>
          <w:numId w:val="5"/>
        </w:numPr>
        <w:spacing w:before="220"/>
        <w:jc w:val="both"/>
      </w:pPr>
      <w:r w:rsidRPr="00A14190">
        <w:t>не предполагается предоставление предмета аренды в субаренду.</w:t>
      </w:r>
    </w:p>
    <w:p w14:paraId="345F3DF9" w14:textId="77777777" w:rsidR="004C7068" w:rsidRPr="00A14190" w:rsidRDefault="004C7068">
      <w:pPr>
        <w:pStyle w:val="ConsPlusNormal"/>
        <w:spacing w:before="220"/>
        <w:jc w:val="both"/>
      </w:pPr>
      <w:r w:rsidRPr="00A14190">
        <w:t>2.8.3. Если организация принимает решение не признавать право пользования активом и обязательство по аренде, то арендные платежи она учитывает в качестве расхода равномерно в течение срока действия договора аренды.</w:t>
      </w:r>
    </w:p>
    <w:p w14:paraId="5DD97940" w14:textId="77777777" w:rsidR="004C7068" w:rsidRPr="00A14190" w:rsidRDefault="004C7068">
      <w:pPr>
        <w:pStyle w:val="ConsPlusNormal"/>
        <w:jc w:val="both"/>
      </w:pPr>
    </w:p>
    <w:p w14:paraId="7B0D6809" w14:textId="77777777" w:rsidR="004C7068" w:rsidRPr="00A14190" w:rsidRDefault="004C7068">
      <w:pPr>
        <w:pStyle w:val="ConsPlusNormal"/>
        <w:jc w:val="center"/>
      </w:pPr>
      <w:r w:rsidRPr="00A14190">
        <w:t>2.9. Учет расходов и доходов</w:t>
      </w:r>
    </w:p>
    <w:p w14:paraId="4C5D0EAA" w14:textId="77777777" w:rsidR="004C7068" w:rsidRPr="00A14190" w:rsidRDefault="004C7068">
      <w:pPr>
        <w:pStyle w:val="ConsPlusNormal"/>
        <w:jc w:val="both"/>
      </w:pPr>
    </w:p>
    <w:p w14:paraId="29087117" w14:textId="77777777" w:rsidR="004C7068" w:rsidRPr="00A14190" w:rsidRDefault="004C7068">
      <w:pPr>
        <w:pStyle w:val="ConsPlusNormal"/>
        <w:jc w:val="both"/>
      </w:pPr>
      <w:r w:rsidRPr="00A14190">
        <w:t>2.9.1. Расходы, учтенные на счете 44 "Расходы на продажу", ежемесячно списываются в дебет счета 90 "Продажи" в полной сумме.</w:t>
      </w:r>
    </w:p>
    <w:p w14:paraId="1D0DC812" w14:textId="77777777" w:rsidR="004C7068" w:rsidRPr="00A14190" w:rsidRDefault="004C7068">
      <w:pPr>
        <w:pStyle w:val="ConsPlusNormal"/>
        <w:jc w:val="both"/>
      </w:pPr>
    </w:p>
    <w:p w14:paraId="34C127DE" w14:textId="77777777" w:rsidR="004C7068" w:rsidRPr="00A14190" w:rsidRDefault="004C7068">
      <w:pPr>
        <w:pStyle w:val="ConsPlusNormal"/>
        <w:jc w:val="center"/>
      </w:pPr>
      <w:r w:rsidRPr="00A14190">
        <w:t>2.10. Бухгалтерская отчетность</w:t>
      </w:r>
    </w:p>
    <w:p w14:paraId="71233481" w14:textId="77777777" w:rsidR="004C7068" w:rsidRPr="00A14190" w:rsidRDefault="004C7068">
      <w:pPr>
        <w:pStyle w:val="ConsPlusNormal"/>
        <w:jc w:val="both"/>
      </w:pPr>
    </w:p>
    <w:p w14:paraId="6EA2364A" w14:textId="2DE1CACA" w:rsidR="004C7068" w:rsidRPr="00A14190" w:rsidRDefault="004C7068">
      <w:pPr>
        <w:pStyle w:val="ConsPlusNormal"/>
        <w:jc w:val="both"/>
      </w:pPr>
      <w:r w:rsidRPr="00A14190">
        <w:t>2.10.1. Организация применяет упрощенные формы бухгалтерского баланса и отчета о финансовых результатах, основанные на формах из Приложения N 9 к ФСБУ 4/2023, в которых в отношении показателей, объединенных в группы, приводятся только итоговые показатели по группам без детализации внутри групп.</w:t>
      </w:r>
    </w:p>
    <w:p w14:paraId="6009B7C8" w14:textId="77777777" w:rsidR="004C7068" w:rsidRPr="00A14190" w:rsidRDefault="004C7068">
      <w:pPr>
        <w:pStyle w:val="ConsPlusNormal"/>
        <w:spacing w:before="220"/>
        <w:jc w:val="both"/>
      </w:pPr>
      <w:r w:rsidRPr="00A14190">
        <w:t>Отчет об изменениях капитала и отчет о движении денежных средств не составляются.</w:t>
      </w:r>
    </w:p>
    <w:p w14:paraId="6FDC5A15" w14:textId="77777777" w:rsidR="004C7068" w:rsidRPr="00A14190" w:rsidRDefault="004C7068">
      <w:pPr>
        <w:pStyle w:val="ConsPlusNormal"/>
        <w:spacing w:before="220"/>
        <w:jc w:val="both"/>
      </w:pPr>
      <w:r w:rsidRPr="00A14190">
        <w:lastRenderedPageBreak/>
        <w:t>Формы бухгалтерской отчетности, применяемые организацией, приведены в Приложении N 5 к Учетной политике.</w:t>
      </w:r>
    </w:p>
    <w:p w14:paraId="79FAA65E" w14:textId="77777777" w:rsidR="004C7068" w:rsidRPr="00A14190" w:rsidRDefault="004C7068">
      <w:pPr>
        <w:pStyle w:val="ConsPlusNormal"/>
        <w:spacing w:before="220"/>
        <w:jc w:val="both"/>
      </w:pPr>
      <w:r w:rsidRPr="00A14190">
        <w:t>2.10.2. Расходы на приобретение несущественных активов стоимостью менее установленного лимита, не признаваемых в составе ОС, включаются в тот показатель отчета о финансовых результатах, в который включалась бы амортизация основных средств в отсутствие такого лимита. При раскрытии элементов затрат на производство в пояснениях указанные расходы отражаются вместе с амортизацией.</w:t>
      </w:r>
    </w:p>
    <w:p w14:paraId="23DAB61A" w14:textId="77777777" w:rsidR="004C7068" w:rsidRPr="00A14190" w:rsidRDefault="004C7068">
      <w:pPr>
        <w:pStyle w:val="ConsPlusNormal"/>
        <w:jc w:val="both"/>
      </w:pPr>
    </w:p>
    <w:p w14:paraId="210557D0" w14:textId="77777777" w:rsidR="004C7068" w:rsidRPr="00A14190" w:rsidRDefault="004C7068">
      <w:pPr>
        <w:pStyle w:val="ConsPlusNormal"/>
        <w:jc w:val="both"/>
      </w:pPr>
    </w:p>
    <w:p w14:paraId="650693D0" w14:textId="77777777" w:rsidR="004C7068" w:rsidRPr="00A14190" w:rsidRDefault="004C7068">
      <w:pPr>
        <w:pStyle w:val="ConsPlusNormal"/>
        <w:jc w:val="center"/>
      </w:pPr>
      <w:r w:rsidRPr="00A14190">
        <w:t>11. Иная информация</w:t>
      </w:r>
    </w:p>
    <w:p w14:paraId="486176D1" w14:textId="77777777" w:rsidR="004C7068" w:rsidRPr="00A14190" w:rsidRDefault="004C7068">
      <w:pPr>
        <w:pStyle w:val="ConsPlusNormal"/>
        <w:jc w:val="both"/>
      </w:pPr>
    </w:p>
    <w:p w14:paraId="5E180B1D" w14:textId="77777777" w:rsidR="004C7068" w:rsidRPr="00A14190" w:rsidRDefault="004C7068">
      <w:pPr>
        <w:pStyle w:val="ConsPlusNormal"/>
        <w:jc w:val="both"/>
      </w:pPr>
      <w:r w:rsidRPr="00A14190">
        <w:t>11.1. Бухгалтерская отчетность составлена в соответствии с федеральными и отраслевыми стандартами бухгалтерского учета Российской Федерации.</w:t>
      </w:r>
    </w:p>
    <w:p w14:paraId="54195DCC" w14:textId="77777777" w:rsidR="004C7068" w:rsidRDefault="004C7068">
      <w:pPr>
        <w:pStyle w:val="ConsPlusNormal"/>
        <w:jc w:val="both"/>
      </w:pPr>
    </w:p>
    <w:p w14:paraId="76DEDE8C" w14:textId="77777777" w:rsidR="00A14190" w:rsidRDefault="00A14190">
      <w:pPr>
        <w:pStyle w:val="ConsPlusNormal"/>
        <w:jc w:val="both"/>
      </w:pPr>
    </w:p>
    <w:p w14:paraId="7EBA6087" w14:textId="77777777" w:rsidR="00A14190" w:rsidRPr="00A14190" w:rsidRDefault="00A1419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1701"/>
        <w:gridCol w:w="340"/>
        <w:gridCol w:w="3515"/>
      </w:tblGrid>
      <w:tr w:rsidR="004C7068" w:rsidRPr="00A14190" w14:paraId="3E5EC141" w14:textId="77777777">
        <w:tc>
          <w:tcPr>
            <w:tcW w:w="3175" w:type="dxa"/>
            <w:tcBorders>
              <w:top w:val="nil"/>
              <w:left w:val="nil"/>
              <w:bottom w:val="single" w:sz="4" w:space="0" w:color="auto"/>
              <w:right w:val="nil"/>
            </w:tcBorders>
            <w:vAlign w:val="bottom"/>
          </w:tcPr>
          <w:p w14:paraId="6C303013" w14:textId="77777777" w:rsidR="004C7068" w:rsidRPr="00A14190" w:rsidRDefault="004C7068">
            <w:pPr>
              <w:pStyle w:val="ConsPlusNormal"/>
              <w:jc w:val="center"/>
            </w:pPr>
            <w:r w:rsidRPr="00A14190">
              <w:t>Генеральный директор</w:t>
            </w:r>
          </w:p>
        </w:tc>
        <w:tc>
          <w:tcPr>
            <w:tcW w:w="340" w:type="dxa"/>
            <w:tcBorders>
              <w:top w:val="nil"/>
              <w:left w:val="nil"/>
              <w:bottom w:val="nil"/>
              <w:right w:val="nil"/>
            </w:tcBorders>
            <w:vAlign w:val="bottom"/>
          </w:tcPr>
          <w:p w14:paraId="0FB1485C" w14:textId="77777777" w:rsidR="004C7068" w:rsidRPr="00A14190" w:rsidRDefault="004C7068">
            <w:pPr>
              <w:pStyle w:val="ConsPlusNormal"/>
            </w:pPr>
          </w:p>
        </w:tc>
        <w:tc>
          <w:tcPr>
            <w:tcW w:w="1701" w:type="dxa"/>
            <w:tcBorders>
              <w:top w:val="nil"/>
              <w:left w:val="nil"/>
              <w:bottom w:val="single" w:sz="4" w:space="0" w:color="auto"/>
              <w:right w:val="nil"/>
            </w:tcBorders>
            <w:vAlign w:val="bottom"/>
          </w:tcPr>
          <w:p w14:paraId="1F31A3DA" w14:textId="193D1281" w:rsidR="004C7068" w:rsidRPr="00A14190" w:rsidRDefault="008534E2">
            <w:pPr>
              <w:pStyle w:val="ConsPlusNormal"/>
              <w:jc w:val="center"/>
              <w:rPr>
                <w:lang w:val="en-US"/>
              </w:rPr>
            </w:pPr>
            <w:r w:rsidRPr="00A14190">
              <w:rPr>
                <w:i/>
                <w:lang w:val="en-US"/>
              </w:rPr>
              <w:t>V</w:t>
            </w:r>
          </w:p>
        </w:tc>
        <w:tc>
          <w:tcPr>
            <w:tcW w:w="340" w:type="dxa"/>
            <w:tcBorders>
              <w:top w:val="nil"/>
              <w:left w:val="nil"/>
              <w:bottom w:val="nil"/>
              <w:right w:val="nil"/>
            </w:tcBorders>
            <w:vAlign w:val="bottom"/>
          </w:tcPr>
          <w:p w14:paraId="4E679F09" w14:textId="77777777" w:rsidR="004C7068" w:rsidRPr="00A14190" w:rsidRDefault="004C7068">
            <w:pPr>
              <w:pStyle w:val="ConsPlusNormal"/>
            </w:pPr>
          </w:p>
        </w:tc>
        <w:tc>
          <w:tcPr>
            <w:tcW w:w="3515" w:type="dxa"/>
            <w:tcBorders>
              <w:top w:val="nil"/>
              <w:left w:val="nil"/>
              <w:bottom w:val="single" w:sz="4" w:space="0" w:color="auto"/>
              <w:right w:val="nil"/>
            </w:tcBorders>
            <w:vAlign w:val="bottom"/>
          </w:tcPr>
          <w:p w14:paraId="784D08FD" w14:textId="2344F624" w:rsidR="004C7068" w:rsidRPr="00A14190" w:rsidRDefault="008534E2">
            <w:pPr>
              <w:pStyle w:val="ConsPlusNormal"/>
              <w:jc w:val="center"/>
            </w:pPr>
            <w:r w:rsidRPr="00A14190">
              <w:t>Иванов Сергей Юрьевич</w:t>
            </w:r>
          </w:p>
        </w:tc>
      </w:tr>
      <w:tr w:rsidR="004C7068" w:rsidRPr="00A14190" w14:paraId="766DC036" w14:textId="77777777">
        <w:tblPrEx>
          <w:tblBorders>
            <w:insideH w:val="none" w:sz="0" w:space="0" w:color="auto"/>
          </w:tblBorders>
        </w:tblPrEx>
        <w:tc>
          <w:tcPr>
            <w:tcW w:w="3175" w:type="dxa"/>
            <w:tcBorders>
              <w:top w:val="single" w:sz="4" w:space="0" w:color="auto"/>
              <w:left w:val="nil"/>
              <w:bottom w:val="nil"/>
              <w:right w:val="nil"/>
            </w:tcBorders>
          </w:tcPr>
          <w:p w14:paraId="5428B174" w14:textId="77777777" w:rsidR="004C7068" w:rsidRPr="00A14190" w:rsidRDefault="004C7068">
            <w:pPr>
              <w:pStyle w:val="ConsPlusNormal"/>
              <w:jc w:val="center"/>
            </w:pPr>
            <w:r w:rsidRPr="00A14190">
              <w:t>(наименование должности)</w:t>
            </w:r>
          </w:p>
        </w:tc>
        <w:tc>
          <w:tcPr>
            <w:tcW w:w="340" w:type="dxa"/>
            <w:tcBorders>
              <w:top w:val="nil"/>
              <w:left w:val="nil"/>
              <w:bottom w:val="nil"/>
              <w:right w:val="nil"/>
            </w:tcBorders>
          </w:tcPr>
          <w:p w14:paraId="382C9CFC" w14:textId="77777777" w:rsidR="004C7068" w:rsidRPr="00A14190" w:rsidRDefault="004C7068">
            <w:pPr>
              <w:pStyle w:val="ConsPlusNormal"/>
            </w:pPr>
          </w:p>
        </w:tc>
        <w:tc>
          <w:tcPr>
            <w:tcW w:w="1701" w:type="dxa"/>
            <w:tcBorders>
              <w:top w:val="single" w:sz="4" w:space="0" w:color="auto"/>
              <w:left w:val="nil"/>
              <w:bottom w:val="nil"/>
              <w:right w:val="nil"/>
            </w:tcBorders>
          </w:tcPr>
          <w:p w14:paraId="228F5454" w14:textId="77777777" w:rsidR="004C7068" w:rsidRPr="00A14190" w:rsidRDefault="004C7068">
            <w:pPr>
              <w:pStyle w:val="ConsPlusNormal"/>
              <w:jc w:val="center"/>
            </w:pPr>
            <w:r w:rsidRPr="00A14190">
              <w:t>(подпись)</w:t>
            </w:r>
          </w:p>
        </w:tc>
        <w:tc>
          <w:tcPr>
            <w:tcW w:w="340" w:type="dxa"/>
            <w:tcBorders>
              <w:top w:val="nil"/>
              <w:left w:val="nil"/>
              <w:bottom w:val="nil"/>
              <w:right w:val="nil"/>
            </w:tcBorders>
          </w:tcPr>
          <w:p w14:paraId="6FA2D9C1" w14:textId="77777777" w:rsidR="004C7068" w:rsidRPr="00A14190" w:rsidRDefault="004C7068">
            <w:pPr>
              <w:pStyle w:val="ConsPlusNormal"/>
            </w:pPr>
          </w:p>
        </w:tc>
        <w:tc>
          <w:tcPr>
            <w:tcW w:w="3515" w:type="dxa"/>
            <w:tcBorders>
              <w:top w:val="single" w:sz="4" w:space="0" w:color="auto"/>
              <w:left w:val="nil"/>
              <w:bottom w:val="nil"/>
              <w:right w:val="nil"/>
            </w:tcBorders>
          </w:tcPr>
          <w:p w14:paraId="5588A6A4" w14:textId="77777777" w:rsidR="004C7068" w:rsidRPr="00A14190" w:rsidRDefault="004C7068">
            <w:pPr>
              <w:pStyle w:val="ConsPlusNormal"/>
              <w:jc w:val="center"/>
            </w:pPr>
            <w:r w:rsidRPr="00A14190">
              <w:t>(расшифровка подписи)</w:t>
            </w:r>
          </w:p>
        </w:tc>
      </w:tr>
      <w:tr w:rsidR="004C7068" w:rsidRPr="00A14190" w14:paraId="5D264E85" w14:textId="77777777">
        <w:tblPrEx>
          <w:tblBorders>
            <w:insideH w:val="none" w:sz="0" w:space="0" w:color="auto"/>
          </w:tblBorders>
        </w:tblPrEx>
        <w:tc>
          <w:tcPr>
            <w:tcW w:w="3175" w:type="dxa"/>
            <w:tcBorders>
              <w:top w:val="nil"/>
              <w:left w:val="nil"/>
              <w:bottom w:val="nil"/>
              <w:right w:val="nil"/>
            </w:tcBorders>
          </w:tcPr>
          <w:p w14:paraId="6B73C144" w14:textId="39B5D7B8" w:rsidR="004C7068" w:rsidRPr="00A14190" w:rsidRDefault="008534E2">
            <w:pPr>
              <w:pStyle w:val="ConsPlusNormal"/>
              <w:jc w:val="center"/>
            </w:pPr>
            <w:r w:rsidRPr="00A14190">
              <w:t>13</w:t>
            </w:r>
            <w:r w:rsidR="004C7068" w:rsidRPr="00A14190">
              <w:t xml:space="preserve"> марта 2026 г.</w:t>
            </w:r>
          </w:p>
        </w:tc>
        <w:tc>
          <w:tcPr>
            <w:tcW w:w="340" w:type="dxa"/>
            <w:tcBorders>
              <w:top w:val="nil"/>
              <w:left w:val="nil"/>
              <w:bottom w:val="nil"/>
              <w:right w:val="nil"/>
            </w:tcBorders>
          </w:tcPr>
          <w:p w14:paraId="52CA2C09" w14:textId="77777777" w:rsidR="004C7068" w:rsidRPr="00A14190" w:rsidRDefault="004C7068">
            <w:pPr>
              <w:pStyle w:val="ConsPlusNormal"/>
            </w:pPr>
          </w:p>
        </w:tc>
        <w:tc>
          <w:tcPr>
            <w:tcW w:w="1701" w:type="dxa"/>
            <w:tcBorders>
              <w:top w:val="nil"/>
              <w:left w:val="nil"/>
              <w:bottom w:val="nil"/>
              <w:right w:val="nil"/>
            </w:tcBorders>
          </w:tcPr>
          <w:p w14:paraId="3108497C" w14:textId="77777777" w:rsidR="004C7068" w:rsidRPr="00A14190" w:rsidRDefault="004C7068">
            <w:pPr>
              <w:pStyle w:val="ConsPlusNormal"/>
            </w:pPr>
          </w:p>
        </w:tc>
        <w:tc>
          <w:tcPr>
            <w:tcW w:w="340" w:type="dxa"/>
            <w:tcBorders>
              <w:top w:val="nil"/>
              <w:left w:val="nil"/>
              <w:bottom w:val="nil"/>
              <w:right w:val="nil"/>
            </w:tcBorders>
          </w:tcPr>
          <w:p w14:paraId="25F7E953" w14:textId="77777777" w:rsidR="004C7068" w:rsidRPr="00A14190" w:rsidRDefault="004C7068">
            <w:pPr>
              <w:pStyle w:val="ConsPlusNormal"/>
            </w:pPr>
          </w:p>
        </w:tc>
        <w:tc>
          <w:tcPr>
            <w:tcW w:w="3515" w:type="dxa"/>
            <w:tcBorders>
              <w:top w:val="nil"/>
              <w:left w:val="nil"/>
              <w:bottom w:val="nil"/>
              <w:right w:val="nil"/>
            </w:tcBorders>
          </w:tcPr>
          <w:p w14:paraId="32BECF5F" w14:textId="77777777" w:rsidR="004C7068" w:rsidRPr="00A14190" w:rsidRDefault="004C7068">
            <w:pPr>
              <w:pStyle w:val="ConsPlusNormal"/>
            </w:pPr>
          </w:p>
        </w:tc>
      </w:tr>
    </w:tbl>
    <w:p w14:paraId="25B373B6" w14:textId="77777777" w:rsidR="00010E8E" w:rsidRPr="00A14190" w:rsidRDefault="00010E8E"/>
    <w:sectPr w:rsidR="00010E8E" w:rsidRPr="00A14190" w:rsidSect="00A14190">
      <w:pgSz w:w="11905" w:h="16838"/>
      <w:pgMar w:top="1134" w:right="706" w:bottom="1134" w:left="99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13A3B46"/>
    <w:multiLevelType w:val="multilevel"/>
    <w:tmpl w:val="5612782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00035"/>
    <w:multiLevelType w:val="multilevel"/>
    <w:tmpl w:val="2C5AD4E4"/>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334DE"/>
    <w:multiLevelType w:val="multilevel"/>
    <w:tmpl w:val="CA2453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D273DD"/>
    <w:multiLevelType w:val="multilevel"/>
    <w:tmpl w:val="662C0BF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914EEB"/>
    <w:multiLevelType w:val="multilevel"/>
    <w:tmpl w:val="947CE41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3541605">
    <w:abstractNumId w:val="5"/>
    <w:lvlOverride w:ilvl="0">
      <w:startOverride w:val="1"/>
    </w:lvlOverride>
  </w:num>
  <w:num w:numId="2" w16cid:durableId="170729009">
    <w:abstractNumId w:val="1"/>
    <w:lvlOverride w:ilvl="0">
      <w:startOverride w:val="1"/>
    </w:lvlOverride>
  </w:num>
  <w:num w:numId="3" w16cid:durableId="435948311">
    <w:abstractNumId w:val="3"/>
    <w:lvlOverride w:ilvl="0">
      <w:startOverride w:val="1"/>
    </w:lvlOverride>
  </w:num>
  <w:num w:numId="4" w16cid:durableId="1436291386">
    <w:abstractNumId w:val="4"/>
    <w:lvlOverride w:ilvl="0">
      <w:startOverride w:val="1"/>
    </w:lvlOverride>
  </w:num>
  <w:num w:numId="5" w16cid:durableId="2053846108">
    <w:abstractNumId w:val="2"/>
    <w:lvlOverride w:ilvl="0">
      <w:startOverride w:val="1"/>
    </w:lvlOverride>
  </w:num>
  <w:num w:numId="6" w16cid:durableId="158888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068"/>
    <w:rsid w:val="00010E8E"/>
    <w:rsid w:val="004C7068"/>
    <w:rsid w:val="005D6F25"/>
    <w:rsid w:val="008534E2"/>
    <w:rsid w:val="00A14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DC88"/>
  <w15:docId w15:val="{977084BC-7789-41C1-8B23-D4DEBD14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0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70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70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70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70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70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7068"/>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C706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C70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7068"/>
    <w:rPr>
      <w:rFonts w:ascii="Tahoma" w:hAnsi="Tahoma" w:cs="Tahoma"/>
      <w:sz w:val="16"/>
      <w:szCs w:val="16"/>
    </w:rPr>
  </w:style>
  <w:style w:type="character" w:styleId="a5">
    <w:name w:val="Hyperlink"/>
    <w:basedOn w:val="a0"/>
    <w:uiPriority w:val="99"/>
    <w:rsid w:val="008534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EA22-A78E-44F5-BCEF-4FC8904C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1248</Words>
  <Characters>7116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Тимошкина Юлия</dc:creator>
  <cp:lastModifiedBy>Юлия Т</cp:lastModifiedBy>
  <cp:revision>2</cp:revision>
  <dcterms:created xsi:type="dcterms:W3CDTF">2026-04-24T15:27:00Z</dcterms:created>
  <dcterms:modified xsi:type="dcterms:W3CDTF">2026-04-24T15:44:00Z</dcterms:modified>
</cp:coreProperties>
</file>